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灌西投资公司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六圩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闸站电气改造项目设计项目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灌西投资公司六圩闸站电气改造项目设计项目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  <w:bookmarkStart w:id="5" w:name="_GoBack"/>
            <w:bookmarkEnd w:id="5"/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新增加两台10KV进出柜。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(2)变压器至低压配电柜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接排。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(3)更换原有低压配电柜，包含6台主电机控装置及12台启闭机控制装置，闸站其它用电控制装置，新增低压柜需带电容补偿部分。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土建内容包括:相应配电柜位置安装。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12000.00元（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电话：18082377901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1871288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C423D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5552CD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2A82E8A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3E1377B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5F53FCC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D38498B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2859</Words>
  <Characters>3083</Characters>
  <Lines>0</Lines>
  <Paragraphs>0</Paragraphs>
  <TotalTime>0</TotalTime>
  <ScaleCrop>false</ScaleCrop>
  <LinksUpToDate>false</LinksUpToDate>
  <CharactersWithSpaces>3558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2023-08-10T09:05:00Z</cp:lastPrinted>
  <dcterms:modified xsi:type="dcterms:W3CDTF">2023-08-11T02:11:47Z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64A5E1E7AFE147A985082E4EF35B740E</vt:lpwstr>
  </property>
</Properties>
</file>