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02B9D8FB">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连云港润投青口能源华润电力青口盐场225MW渔光互补产业融合示范项目光伏场区标段采购劳务服务项目</w:t>
      </w:r>
    </w:p>
    <w:p w14:paraId="7435EFB4">
      <w:pPr>
        <w:jc w:val="center"/>
        <w:rPr>
          <w:rFonts w:hint="eastAsia" w:ascii="微软雅黑" w:hAnsi="微软雅黑" w:eastAsia="微软雅黑" w:cs="微软雅黑"/>
          <w:b/>
          <w:bCs/>
          <w:sz w:val="32"/>
          <w:szCs w:val="40"/>
          <w:lang w:eastAsia="zh-CN"/>
        </w:rPr>
      </w:pPr>
      <w:bookmarkStart w:id="10" w:name="_GoBack"/>
      <w:bookmarkEnd w:id="10"/>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连云港润投青口能源华润电力青口盐场225MW渔光互补产业融合示范项目光伏场区标段采购劳务服务项目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1450"/>
        <w:gridCol w:w="5638"/>
        <w:gridCol w:w="812"/>
        <w:gridCol w:w="925"/>
        <w:gridCol w:w="1034"/>
      </w:tblGrid>
      <w:tr w14:paraId="79D3AD53">
        <w:tblPrEx>
          <w:shd w:val="clear" w:color="auto" w:fill="auto"/>
          <w:tblCellMar>
            <w:top w:w="0" w:type="dxa"/>
            <w:left w:w="0" w:type="dxa"/>
            <w:bottom w:w="0" w:type="dxa"/>
            <w:right w:w="0"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4109"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水平定向钻施工MPP-φ180（不含MPP管材料费）</w:t>
            </w:r>
          </w:p>
        </w:tc>
        <w:tc>
          <w:tcPr>
            <w:tcW w:w="5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1、满足施工图纸要求的所有内容，包括但不限于：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(1)场地平整及恢复、测量放线、地下管线勘测。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(2)设备进场、组装、调试、场内转移。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(3)管材的存放、看护、倒运、熔接等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(4)水平定向钻施工，包含钻孔、扩孔、管道回拖等。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(5)发电机、照明灯及配套设施安装；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(6)施工过程中的油料和其他材料损耗；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(7)施工过程中膨润土注入和泥浆清运、泥浆处理；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(8)电缆钢带线的穿放。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(9)原有地貌恢复；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2、乙供材：包含但不限于膨润土、钢带线等除甲供材以外的所有材料。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3、甲供材：MPP管。</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米</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2800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按米计量</w:t>
            </w:r>
          </w:p>
        </w:tc>
      </w:tr>
    </w:tbl>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05</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2B67B88">
      <w:pPr>
        <w:spacing w:line="360" w:lineRule="auto"/>
        <w:ind w:firstLine="480" w:firstLineChars="200"/>
        <w:jc w:val="left"/>
        <w:rPr>
          <w:rFonts w:hint="eastAsia" w:ascii="宋体" w:hAnsi="宋体" w:cs="宋体"/>
          <w:sz w:val="24"/>
        </w:rPr>
      </w:pPr>
      <w:r>
        <w:rPr>
          <w:rFonts w:hint="eastAsia" w:ascii="宋体" w:hAnsi="宋体" w:cs="宋体"/>
          <w:sz w:val="24"/>
        </w:rPr>
        <w:t>4、投标人须具备建设行政主管部门核发有效的电力工程施工总承包三级及以上资质</w:t>
      </w:r>
      <w:r>
        <w:rPr>
          <w:rFonts w:hint="eastAsia" w:ascii="宋体" w:hAnsi="宋体" w:cs="宋体"/>
          <w:sz w:val="24"/>
          <w:lang w:eastAsia="zh-CN"/>
        </w:rPr>
        <w:t>；</w:t>
      </w:r>
      <w:r>
        <w:rPr>
          <w:rFonts w:hint="eastAsia" w:ascii="宋体" w:hAnsi="宋体" w:cs="宋体"/>
          <w:sz w:val="24"/>
          <w:highlight w:val="none"/>
        </w:rPr>
        <w:t>或</w:t>
      </w:r>
      <w:r>
        <w:rPr>
          <w:rFonts w:hint="eastAsia" w:ascii="宋体" w:hAnsi="宋体" w:cs="宋体"/>
          <w:color w:val="auto"/>
          <w:sz w:val="24"/>
          <w:highlight w:val="none"/>
          <w:lang w:val="en-US" w:eastAsia="zh-CN"/>
        </w:rPr>
        <w:t>具有</w:t>
      </w:r>
      <w:r>
        <w:rPr>
          <w:rFonts w:hint="eastAsia" w:ascii="宋体" w:hAnsi="宋体" w:cs="宋体"/>
          <w:sz w:val="24"/>
        </w:rPr>
        <w:t>输变电工程专业承包三级及以上资质同时具有有效的国家电力监管委员会颁发有效的三级及以上资质（含三级）承装（修、试）电力设施许可证</w:t>
      </w:r>
      <w:r>
        <w:rPr>
          <w:rFonts w:hint="eastAsia" w:ascii="宋体" w:hAnsi="宋体" w:cs="宋体"/>
          <w:sz w:val="24"/>
          <w:lang w:eastAsia="zh-CN"/>
        </w:rPr>
        <w:t>；</w:t>
      </w:r>
      <w:r>
        <w:rPr>
          <w:rFonts w:hint="eastAsia" w:ascii="宋体" w:hAnsi="宋体" w:cs="宋体"/>
          <w:sz w:val="24"/>
          <w:lang w:val="en-US" w:eastAsia="zh-CN"/>
        </w:rPr>
        <w:t>或具备建筑或市政施工承包三级以上资质（含三级）；均</w:t>
      </w:r>
      <w:r>
        <w:rPr>
          <w:rFonts w:hint="eastAsia" w:ascii="宋体" w:hAnsi="宋体" w:cs="宋体"/>
          <w:sz w:val="24"/>
        </w:rPr>
        <w:t>具有安全生产许可证（有效的）。</w:t>
      </w:r>
    </w:p>
    <w:p w14:paraId="53D9EE0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、投标人拟派项目负责人须具备建设行政主管部门颁发有效的机电工程专业注册建造师二级</w:t>
      </w:r>
      <w:r>
        <w:rPr>
          <w:rFonts w:hint="eastAsia" w:ascii="宋体" w:hAnsi="宋体" w:cs="宋体"/>
          <w:sz w:val="24"/>
          <w:lang w:val="en-US" w:eastAsia="zh-CN"/>
        </w:rPr>
        <w:t>及以上</w:t>
      </w:r>
      <w:r>
        <w:rPr>
          <w:rFonts w:hint="eastAsia" w:ascii="宋体" w:hAnsi="宋体" w:cs="宋体"/>
          <w:sz w:val="24"/>
        </w:rPr>
        <w:t>（资格）</w:t>
      </w:r>
      <w:r>
        <w:rPr>
          <w:rFonts w:hint="eastAsia" w:ascii="宋体" w:hAnsi="宋体" w:cs="宋体"/>
          <w:sz w:val="24"/>
          <w:lang w:val="en-US" w:eastAsia="zh-CN"/>
        </w:rPr>
        <w:t>或</w:t>
      </w:r>
      <w:r>
        <w:rPr>
          <w:rFonts w:hint="eastAsia" w:ascii="宋体" w:hAnsi="宋体" w:cs="宋体"/>
          <w:sz w:val="24"/>
        </w:rPr>
        <w:t>建筑或市政</w:t>
      </w:r>
      <w:r>
        <w:rPr>
          <w:rFonts w:hint="eastAsia" w:ascii="宋体" w:hAnsi="宋体" w:cs="宋体"/>
          <w:sz w:val="24"/>
          <w:lang w:val="en-US" w:eastAsia="zh-CN"/>
        </w:rPr>
        <w:t>专业</w:t>
      </w:r>
      <w:r>
        <w:rPr>
          <w:rFonts w:hint="eastAsia" w:ascii="宋体" w:hAnsi="宋体" w:cs="宋体"/>
          <w:sz w:val="24"/>
        </w:rPr>
        <w:t>注册建造师二级</w:t>
      </w:r>
      <w:r>
        <w:rPr>
          <w:rFonts w:hint="eastAsia" w:ascii="宋体" w:hAnsi="宋体" w:cs="宋体"/>
          <w:sz w:val="24"/>
          <w:lang w:val="en-US" w:eastAsia="zh-CN"/>
        </w:rPr>
        <w:t>及以上</w:t>
      </w:r>
      <w:r>
        <w:rPr>
          <w:rFonts w:hint="eastAsia" w:ascii="宋体" w:hAnsi="宋体" w:cs="宋体"/>
          <w:sz w:val="24"/>
        </w:rPr>
        <w:t>（资格），同时具备建造师安全生产考核合格证（B 类）(有效的）</w:t>
      </w:r>
      <w:r>
        <w:rPr>
          <w:rFonts w:hint="eastAsia" w:ascii="宋体" w:hAnsi="宋体" w:cs="宋体"/>
          <w:sz w:val="24"/>
          <w:lang w:eastAsia="zh-CN"/>
        </w:rPr>
        <w:t>。</w:t>
      </w:r>
    </w:p>
    <w:p w14:paraId="6963992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rPr>
        <w:t>本项目不接受联合体投标</w:t>
      </w:r>
      <w:r>
        <w:rPr>
          <w:rFonts w:hint="eastAsia" w:ascii="宋体" w:hAnsi="宋体" w:cs="宋体"/>
          <w:sz w:val="24"/>
          <w:lang w:val="en-US" w:eastAsia="zh-CN"/>
        </w:rPr>
        <w:t>。</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84000.00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val="en-US" w:eastAsia="zh-CN"/>
        </w:rPr>
        <w:t>工程类</w:t>
      </w:r>
      <w:r>
        <w:rPr>
          <w:rFonts w:hint="eastAsia" w:ascii="宋体" w:hAnsi="宋体" w:cs="宋体"/>
          <w:sz w:val="24"/>
          <w:highlight w:val="yellow"/>
        </w:rPr>
        <w:t>资质证书</w:t>
      </w:r>
      <w:r>
        <w:rPr>
          <w:rFonts w:hint="eastAsia" w:ascii="宋体" w:hAnsi="宋体" w:cs="宋体"/>
          <w:sz w:val="24"/>
          <w:highlight w:val="yellow"/>
          <w:lang w:eastAsia="zh-CN"/>
        </w:rPr>
        <w:t>；</w:t>
      </w:r>
      <w:r>
        <w:rPr>
          <w:rFonts w:hint="eastAsia" w:ascii="宋体" w:hAnsi="宋体" w:cs="宋体"/>
          <w:sz w:val="24"/>
          <w:highlight w:val="yellow"/>
        </w:rPr>
        <w:t>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合同签订后，甲方在收到乙方提供的等额预付款保函及合规发票后10个工作日内，向乙方支付合同总价的 10% 作为预付款。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项目联系人：杨先生           电话：15312133933</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05</w:t>
      </w:r>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5、工程类资质证书；安全生产许可证；项目经理建造师证书及安全员B证；（复印件加盖公章）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2"/>
        <w:rPr>
          <w:rFonts w:hint="eastAsia" w:ascii="宋体" w:hAnsi="宋体" w:cs="宋体"/>
          <w:sz w:val="24"/>
        </w:rPr>
      </w:pPr>
    </w:p>
    <w:p w14:paraId="3BE1C5B3">
      <w:pPr>
        <w:pStyle w:val="2"/>
        <w:rPr>
          <w:rFonts w:hint="eastAsia" w:ascii="宋体" w:hAnsi="宋体" w:cs="宋体"/>
          <w:sz w:val="24"/>
        </w:rPr>
      </w:pPr>
    </w:p>
    <w:p w14:paraId="6F4016EE">
      <w:pPr>
        <w:pStyle w:val="2"/>
        <w:rPr>
          <w:rFonts w:hint="eastAsia" w:ascii="宋体" w:hAnsi="宋体" w:cs="宋体"/>
          <w:sz w:val="24"/>
        </w:rPr>
      </w:pPr>
    </w:p>
    <w:p w14:paraId="6048A7B3">
      <w:pPr>
        <w:pStyle w:val="2"/>
        <w:rPr>
          <w:rFonts w:hint="eastAsia" w:ascii="宋体" w:hAnsi="宋体" w:cs="宋体"/>
          <w:sz w:val="24"/>
        </w:rPr>
      </w:pPr>
    </w:p>
    <w:p w14:paraId="49B2617A">
      <w:pPr>
        <w:pStyle w:val="2"/>
        <w:rPr>
          <w:rFonts w:hint="eastAsia" w:ascii="宋体" w:hAnsi="宋体" w:cs="宋体"/>
          <w:sz w:val="24"/>
        </w:rPr>
      </w:pPr>
    </w:p>
    <w:p w14:paraId="735B2CC8">
      <w:pPr>
        <w:pStyle w:val="2"/>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10A5BA2">
      <w:pPr>
        <w:spacing w:line="360" w:lineRule="auto"/>
        <w:rPr>
          <w:rFonts w:hint="eastAsia" w:asciiTheme="minorEastAsia" w:hAnsiTheme="minorEastAsia" w:eastAsiaTheme="minorEastAsia"/>
          <w:color w:val="000000" w:themeColor="text1"/>
          <w:sz w:val="24"/>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w:t>
      </w:r>
      <w:bookmarkEnd w:id="1"/>
      <w:r>
        <w:rPr>
          <w:rFonts w:hint="eastAsia" w:asciiTheme="minorEastAsia" w:hAnsiTheme="minorEastAsia" w:eastAsiaTheme="minorEastAsia"/>
          <w:b/>
          <w:bCs/>
          <w:color w:val="000000" w:themeColor="text1"/>
          <w:szCs w:val="21"/>
          <w14:textFill>
            <w14:solidFill>
              <w14:schemeClr w14:val="tx1"/>
            </w14:solidFill>
          </w14:textFill>
        </w:rPr>
        <w:t>（包括但不仅限于）所有成本、人工费、交通费、市场风险费用、保险费、管理费、利润、各项税金以及投标人踏勘现场后根据自己的经验认为必须实施的一切费用</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1372"/>
      <w:bookmarkStart w:id="4" w:name="_Toc61877376"/>
      <w:bookmarkStart w:id="5" w:name="_Toc62734871"/>
      <w:bookmarkStart w:id="6" w:name="_Toc61871288"/>
      <w:bookmarkStart w:id="7" w:name="_Toc60818732"/>
      <w:bookmarkStart w:id="8" w:name="_Toc12468"/>
      <w:bookmarkStart w:id="9" w:name="_Toc15989"/>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2"/>
        <w:rPr>
          <w:rFonts w:hint="eastAsia" w:ascii="宋体" w:hAnsi="宋体" w:cs="宋体"/>
          <w:b/>
          <w:bCs/>
          <w:sz w:val="36"/>
          <w:szCs w:val="36"/>
          <w:lang w:val="en-US" w:eastAsia="zh-CN"/>
        </w:rPr>
      </w:pPr>
    </w:p>
    <w:p w14:paraId="14D05743">
      <w:pPr>
        <w:pStyle w:val="2"/>
        <w:rPr>
          <w:rFonts w:hint="eastAsia" w:ascii="宋体" w:hAnsi="宋体" w:cs="宋体"/>
          <w:b/>
          <w:bCs/>
          <w:sz w:val="36"/>
          <w:szCs w:val="36"/>
          <w:lang w:val="en-US" w:eastAsia="zh-CN"/>
        </w:rPr>
      </w:pPr>
    </w:p>
    <w:p w14:paraId="1303EC21">
      <w:pPr>
        <w:pStyle w:val="2"/>
        <w:rPr>
          <w:rFonts w:hint="eastAsia" w:ascii="宋体" w:hAnsi="宋体" w:cs="宋体"/>
          <w:b/>
          <w:bCs/>
          <w:sz w:val="36"/>
          <w:szCs w:val="36"/>
          <w:lang w:val="en-US" w:eastAsia="zh-CN"/>
        </w:rPr>
      </w:pPr>
    </w:p>
    <w:p w14:paraId="1EC28D34">
      <w:pPr>
        <w:pStyle w:val="2"/>
        <w:rPr>
          <w:rFonts w:hint="eastAsia" w:ascii="宋体" w:hAnsi="宋体" w:cs="宋体"/>
          <w:b/>
          <w:bCs/>
          <w:sz w:val="36"/>
          <w:szCs w:val="36"/>
          <w:lang w:val="en-US" w:eastAsia="zh-CN"/>
        </w:rPr>
      </w:pPr>
    </w:p>
    <w:p w14:paraId="299AEF47">
      <w:pPr>
        <w:pStyle w:val="2"/>
        <w:rPr>
          <w:rFonts w:hint="eastAsia" w:ascii="宋体" w:hAnsi="宋体" w:cs="宋体"/>
          <w:b/>
          <w:bCs/>
          <w:sz w:val="36"/>
          <w:szCs w:val="36"/>
          <w:lang w:val="en-US" w:eastAsia="zh-CN"/>
        </w:rPr>
      </w:pPr>
    </w:p>
    <w:p w14:paraId="1270ABE1">
      <w:pPr>
        <w:pStyle w:val="2"/>
        <w:rPr>
          <w:rFonts w:hint="eastAsia" w:ascii="宋体" w:hAnsi="宋体" w:cs="宋体"/>
          <w:b/>
          <w:bCs/>
          <w:sz w:val="36"/>
          <w:szCs w:val="36"/>
          <w:lang w:val="en-US" w:eastAsia="zh-CN"/>
        </w:rPr>
      </w:pPr>
    </w:p>
    <w:p w14:paraId="76C629FA">
      <w:pPr>
        <w:pStyle w:val="2"/>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5、工程类资质证书；安全生产许可证；项目经理建造师证书及安全员B证；（复印件加盖公章）</w:t>
      </w:r>
    </w:p>
    <w:p w14:paraId="5981808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78D68427">
      <w:pPr>
        <w:numPr>
          <w:ilvl w:val="0"/>
          <w:numId w:val="0"/>
        </w:numPr>
        <w:spacing w:line="360" w:lineRule="auto"/>
        <w:ind w:right="560" w:rightChars="0"/>
        <w:jc w:val="both"/>
        <w:rPr>
          <w:rFonts w:hint="eastAsia" w:ascii="宋体" w:hAnsi="宋体" w:cs="宋体"/>
          <w:b/>
          <w:bCs/>
          <w:sz w:val="36"/>
          <w:szCs w:val="36"/>
          <w:lang w:val="en-US" w:eastAsia="zh-CN"/>
        </w:rPr>
      </w:pPr>
    </w:p>
    <w:p w14:paraId="67CF5058">
      <w:pPr>
        <w:numPr>
          <w:ilvl w:val="0"/>
          <w:numId w:val="0"/>
        </w:numPr>
        <w:spacing w:line="360" w:lineRule="auto"/>
        <w:ind w:right="560" w:rightChars="0"/>
        <w:jc w:val="both"/>
        <w:rPr>
          <w:rFonts w:hint="eastAsia" w:ascii="宋体" w:hAnsi="宋体" w:cs="宋体"/>
          <w:b/>
          <w:bCs/>
          <w:sz w:val="36"/>
          <w:szCs w:val="36"/>
          <w:lang w:val="en-US" w:eastAsia="zh-CN"/>
        </w:rPr>
      </w:pPr>
    </w:p>
    <w:p w14:paraId="15E8A397">
      <w:pPr>
        <w:numPr>
          <w:ilvl w:val="0"/>
          <w:numId w:val="0"/>
        </w:numPr>
        <w:spacing w:line="360" w:lineRule="auto"/>
        <w:ind w:right="560" w:rightChars="0"/>
        <w:jc w:val="both"/>
        <w:rPr>
          <w:rFonts w:hint="eastAsia" w:ascii="宋体" w:hAnsi="宋体" w:cs="宋体"/>
          <w:b/>
          <w:bCs/>
          <w:sz w:val="36"/>
          <w:szCs w:val="36"/>
          <w:lang w:val="en-US" w:eastAsia="zh-CN"/>
        </w:rPr>
      </w:pPr>
    </w:p>
    <w:p w14:paraId="6F414F00">
      <w:pPr>
        <w:numPr>
          <w:ilvl w:val="0"/>
          <w:numId w:val="0"/>
        </w:numPr>
        <w:spacing w:line="360" w:lineRule="auto"/>
        <w:ind w:right="560" w:rightChars="0"/>
        <w:jc w:val="both"/>
        <w:rPr>
          <w:rFonts w:hint="eastAsia" w:ascii="宋体" w:hAnsi="宋体" w:cs="宋体"/>
          <w:b/>
          <w:bCs/>
          <w:sz w:val="36"/>
          <w:szCs w:val="36"/>
          <w:lang w:val="en-US" w:eastAsia="zh-CN"/>
        </w:rPr>
      </w:pPr>
    </w:p>
    <w:p w14:paraId="1DDB0EB8">
      <w:pPr>
        <w:numPr>
          <w:ilvl w:val="0"/>
          <w:numId w:val="0"/>
        </w:numPr>
        <w:spacing w:line="360" w:lineRule="auto"/>
        <w:ind w:right="560" w:rightChars="0"/>
        <w:jc w:val="both"/>
        <w:rPr>
          <w:rFonts w:hint="eastAsia" w:ascii="宋体" w:hAnsi="宋体" w:cs="宋体"/>
          <w:b/>
          <w:bCs/>
          <w:sz w:val="36"/>
          <w:szCs w:val="36"/>
          <w:lang w:val="en-US" w:eastAsia="zh-CN"/>
        </w:rPr>
      </w:pPr>
    </w:p>
    <w:p w14:paraId="45134665">
      <w:pPr>
        <w:numPr>
          <w:ilvl w:val="0"/>
          <w:numId w:val="0"/>
        </w:numPr>
        <w:spacing w:line="360" w:lineRule="auto"/>
        <w:ind w:right="560" w:rightChars="0"/>
        <w:jc w:val="both"/>
        <w:rPr>
          <w:rFonts w:hint="eastAsia" w:ascii="宋体" w:hAnsi="宋体" w:cs="宋体"/>
          <w:b/>
          <w:bCs/>
          <w:sz w:val="36"/>
          <w:szCs w:val="36"/>
          <w:lang w:val="en-US" w:eastAsia="zh-CN"/>
        </w:rPr>
      </w:pPr>
    </w:p>
    <w:p w14:paraId="60667939">
      <w:pPr>
        <w:numPr>
          <w:ilvl w:val="0"/>
          <w:numId w:val="0"/>
        </w:numPr>
        <w:spacing w:line="360" w:lineRule="auto"/>
        <w:ind w:right="560" w:rightChars="0"/>
        <w:jc w:val="both"/>
        <w:rPr>
          <w:rFonts w:hint="eastAsia" w:ascii="宋体" w:hAnsi="宋体" w:cs="宋体"/>
          <w:b/>
          <w:bCs/>
          <w:sz w:val="36"/>
          <w:szCs w:val="36"/>
          <w:lang w:val="en-US" w:eastAsia="zh-CN"/>
        </w:rPr>
      </w:pPr>
    </w:p>
    <w:p w14:paraId="3C5B0C8C">
      <w:pPr>
        <w:numPr>
          <w:ilvl w:val="0"/>
          <w:numId w:val="0"/>
        </w:numPr>
        <w:spacing w:line="360" w:lineRule="auto"/>
        <w:ind w:right="560" w:rightChars="0"/>
        <w:jc w:val="both"/>
        <w:rPr>
          <w:rFonts w:hint="eastAsia" w:ascii="宋体" w:hAnsi="宋体" w:cs="宋体"/>
          <w:b/>
          <w:bCs/>
          <w:sz w:val="36"/>
          <w:szCs w:val="36"/>
          <w:lang w:val="en-US" w:eastAsia="zh-CN"/>
        </w:rPr>
      </w:pPr>
    </w:p>
    <w:p w14:paraId="3D865E21">
      <w:pPr>
        <w:numPr>
          <w:ilvl w:val="0"/>
          <w:numId w:val="0"/>
        </w:numPr>
        <w:spacing w:line="360" w:lineRule="auto"/>
        <w:ind w:right="560" w:rightChars="0"/>
        <w:jc w:val="both"/>
        <w:rPr>
          <w:rFonts w:hint="eastAsia" w:ascii="宋体" w:hAnsi="宋体" w:cs="宋体"/>
          <w:b/>
          <w:bCs/>
          <w:sz w:val="36"/>
          <w:szCs w:val="36"/>
          <w:lang w:val="en-US" w:eastAsia="zh-CN"/>
        </w:rPr>
      </w:pPr>
    </w:p>
    <w:p w14:paraId="173C4255">
      <w:pPr>
        <w:numPr>
          <w:ilvl w:val="0"/>
          <w:numId w:val="0"/>
        </w:numPr>
        <w:spacing w:line="360" w:lineRule="auto"/>
        <w:ind w:right="560" w:rightChars="0"/>
        <w:jc w:val="both"/>
        <w:rPr>
          <w:rFonts w:hint="eastAsia" w:ascii="宋体" w:hAnsi="宋体" w:cs="宋体"/>
          <w:b/>
          <w:bCs/>
          <w:sz w:val="36"/>
          <w:szCs w:val="36"/>
          <w:lang w:val="en-US" w:eastAsia="zh-CN"/>
        </w:rPr>
      </w:pPr>
    </w:p>
    <w:p w14:paraId="22C0D170">
      <w:pPr>
        <w:numPr>
          <w:ilvl w:val="0"/>
          <w:numId w:val="0"/>
        </w:numPr>
        <w:spacing w:line="360" w:lineRule="auto"/>
        <w:ind w:right="560" w:rightChars="0"/>
        <w:jc w:val="both"/>
        <w:rPr>
          <w:rFonts w:hint="eastAsia" w:ascii="宋体" w:hAnsi="宋体" w:cs="宋体"/>
          <w:b/>
          <w:bCs/>
          <w:sz w:val="36"/>
          <w:szCs w:val="36"/>
          <w:lang w:val="en-US" w:eastAsia="zh-CN"/>
        </w:rPr>
      </w:pPr>
    </w:p>
    <w:p w14:paraId="6767348C">
      <w:pPr>
        <w:numPr>
          <w:ilvl w:val="0"/>
          <w:numId w:val="0"/>
        </w:numPr>
        <w:spacing w:line="360" w:lineRule="auto"/>
        <w:ind w:right="560" w:rightChars="0"/>
        <w:jc w:val="both"/>
        <w:rPr>
          <w:rFonts w:hint="eastAsia" w:ascii="宋体" w:hAnsi="宋体" w:cs="宋体"/>
          <w:b/>
          <w:bCs/>
          <w:sz w:val="36"/>
          <w:szCs w:val="36"/>
          <w:lang w:val="en-US" w:eastAsia="zh-CN"/>
        </w:rPr>
      </w:pPr>
    </w:p>
    <w:p w14:paraId="097349E0">
      <w:pPr>
        <w:numPr>
          <w:ilvl w:val="0"/>
          <w:numId w:val="0"/>
        </w:numPr>
        <w:spacing w:line="360" w:lineRule="auto"/>
        <w:ind w:right="560" w:rightChars="0"/>
        <w:jc w:val="both"/>
        <w:rPr>
          <w:rFonts w:hint="eastAsia" w:ascii="宋体" w:hAnsi="宋体" w:cs="宋体"/>
          <w:b/>
          <w:bCs/>
          <w:sz w:val="36"/>
          <w:szCs w:val="36"/>
          <w:lang w:val="en-US" w:eastAsia="zh-CN"/>
        </w:rPr>
      </w:pPr>
    </w:p>
    <w:p w14:paraId="745FE3AF">
      <w:pPr>
        <w:numPr>
          <w:ilvl w:val="0"/>
          <w:numId w:val="0"/>
        </w:numPr>
        <w:spacing w:line="360" w:lineRule="auto"/>
        <w:ind w:right="560" w:rightChars="0"/>
        <w:jc w:val="both"/>
        <w:rPr>
          <w:rFonts w:hint="eastAsia" w:ascii="宋体" w:hAnsi="宋体" w:cs="宋体"/>
          <w:b/>
          <w:bCs/>
          <w:sz w:val="36"/>
          <w:szCs w:val="36"/>
          <w:lang w:val="en-US" w:eastAsia="zh-CN"/>
        </w:rPr>
      </w:pPr>
    </w:p>
    <w:p w14:paraId="6DF9948C">
      <w:pPr>
        <w:numPr>
          <w:ilvl w:val="0"/>
          <w:numId w:val="0"/>
        </w:numPr>
        <w:spacing w:line="360" w:lineRule="auto"/>
        <w:ind w:right="560" w:rightChars="0"/>
        <w:jc w:val="both"/>
        <w:rPr>
          <w:rFonts w:hint="eastAsia" w:ascii="宋体" w:hAnsi="宋体" w:cs="宋体"/>
          <w:b/>
          <w:bCs/>
          <w:sz w:val="36"/>
          <w:szCs w:val="36"/>
          <w:lang w:val="en-US" w:eastAsia="zh-CN"/>
        </w:rPr>
      </w:pPr>
    </w:p>
    <w:p w14:paraId="0B3B66D6">
      <w:pPr>
        <w:numPr>
          <w:ilvl w:val="0"/>
          <w:numId w:val="0"/>
        </w:numPr>
        <w:spacing w:line="360" w:lineRule="auto"/>
        <w:ind w:right="560" w:rightChars="0"/>
        <w:jc w:val="both"/>
        <w:rPr>
          <w:rFonts w:hint="eastAsia" w:ascii="宋体" w:hAnsi="宋体" w:cs="宋体"/>
          <w:b/>
          <w:bCs/>
          <w:sz w:val="36"/>
          <w:szCs w:val="36"/>
          <w:lang w:val="en-US" w:eastAsia="zh-CN"/>
        </w:rPr>
      </w:pPr>
    </w:p>
    <w:p w14:paraId="4BA00A99">
      <w:pPr>
        <w:numPr>
          <w:ilvl w:val="0"/>
          <w:numId w:val="0"/>
        </w:numPr>
        <w:spacing w:line="360" w:lineRule="auto"/>
        <w:ind w:right="560" w:rightChars="0"/>
        <w:jc w:val="both"/>
        <w:rPr>
          <w:rFonts w:hint="eastAsia" w:ascii="宋体" w:hAnsi="宋体" w:cs="宋体"/>
          <w:b/>
          <w:bCs/>
          <w:sz w:val="36"/>
          <w:szCs w:val="36"/>
          <w:lang w:val="en-US" w:eastAsia="zh-CN"/>
        </w:rPr>
      </w:pPr>
    </w:p>
    <w:p w14:paraId="050BDF28">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1140460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95pt;margin-top:89.8pt;height:30.7pt;width:19.05pt;z-index:251661312;v-text-anchor:middle;mso-width-relative:page;mso-height-relative:page;" fillcolor="#C00000" filled="t" stroked="t" coordsize="21600,21600" o:gfxdata="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7//Kc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1588770</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75pt;margin-top:125.1pt;height:34.1pt;width:128.85pt;z-index:251659264;v-text-anchor:middle;mso-width-relative:page;mso-height-relative:page;" filled="f" stroked="t" coordsize="21600,21600" o:gfxdata="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6LIL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2270"/>
            <wp:effectExtent l="0" t="0" r="6985" b="1143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6"/>
                    <a:srcRect t="5392" b="5392"/>
                    <a:stretch>
                      <a:fillRect/>
                    </a:stretch>
                  </pic:blipFill>
                  <pic:spPr>
                    <a:xfrm>
                      <a:off x="0" y="0"/>
                      <a:ext cx="5269865" cy="292227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2446655</wp:posOffset>
                </wp:positionH>
                <wp:positionV relativeFrom="paragraph">
                  <wp:posOffset>1092835</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65pt;margin-top:86.05pt;height:35.45pt;width:21.15pt;z-index:251662336;v-text-anchor:middle;mso-width-relative:page;mso-height-relative:page;" fillcolor="#C00000" filled="t" stroked="t" coordsize="21600,21600" o:gfxdata="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xPqu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1941830</wp:posOffset>
                </wp:positionH>
                <wp:positionV relativeFrom="paragraph">
                  <wp:posOffset>1626870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128.1pt;height:40.9pt;width:93.45pt;z-index:251660288;v-text-anchor:middle;mso-width-relative:page;mso-height-relative:page;" filled="f" stroked="t" coordsize="21600,21600" o:gfxdata="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cGmx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3011170"/>
            <wp:effectExtent l="0" t="0" r="1905" b="1778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7"/>
                    <a:srcRect t="9251" b="9251"/>
                    <a:stretch>
                      <a:fillRect/>
                    </a:stretch>
                  </pic:blipFill>
                  <pic:spPr>
                    <a:xfrm>
                      <a:off x="0" y="0"/>
                      <a:ext cx="5274945" cy="3011170"/>
                    </a:xfrm>
                    <a:prstGeom prst="rect">
                      <a:avLst/>
                    </a:prstGeom>
                  </pic:spPr>
                </pic:pic>
              </a:graphicData>
            </a:graphic>
          </wp:inline>
        </w:drawing>
      </w:r>
    </w:p>
    <w:p w14:paraId="719A6F9D">
      <w:pPr>
        <w:numPr>
          <w:ilvl w:val="0"/>
          <w:numId w:val="0"/>
        </w:numPr>
        <w:spacing w:line="360" w:lineRule="auto"/>
        <w:ind w:leftChars="0" w:right="560" w:rightChars="0"/>
        <w:jc w:val="both"/>
        <w:rPr>
          <w:rFonts w:hint="eastAsia" w:ascii="宋体" w:hAnsi="宋体" w:cs="宋体"/>
          <w:b/>
          <w:bCs/>
          <w:sz w:val="36"/>
          <w:szCs w:val="36"/>
          <w:lang w:val="en-US" w:eastAsia="zh-CN"/>
        </w:rPr>
      </w:pPr>
    </w:p>
    <w:p w14:paraId="1C37B4F6">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4493B663">
      <w:pPr>
        <w:spacing w:line="360" w:lineRule="auto"/>
        <w:ind w:right="560"/>
        <w:jc w:val="both"/>
        <w:rPr>
          <w:rFonts w:hint="eastAsia" w:ascii="宋体" w:hAnsi="宋体" w:cs="宋体"/>
          <w:sz w:val="24"/>
        </w:rPr>
      </w:pPr>
    </w:p>
    <w:p w14:paraId="5449F2B7">
      <w:pPr>
        <w:spacing w:line="360" w:lineRule="auto"/>
        <w:ind w:right="560"/>
        <w:jc w:val="both"/>
        <w:rPr>
          <w:rFonts w:hint="eastAsia" w:ascii="宋体" w:hAnsi="宋体" w:cs="宋体"/>
          <w:sz w:val="24"/>
        </w:rPr>
      </w:pPr>
    </w:p>
    <w:p w14:paraId="27D5CCAF">
      <w:pPr>
        <w:spacing w:line="360" w:lineRule="auto"/>
        <w:ind w:right="560"/>
        <w:jc w:val="both"/>
        <w:rPr>
          <w:rFonts w:hint="eastAsia" w:ascii="宋体" w:hAnsi="宋体" w:cs="宋体"/>
          <w:sz w:val="24"/>
        </w:rPr>
      </w:pPr>
    </w:p>
    <w:p w14:paraId="77D20823">
      <w:pPr>
        <w:spacing w:line="360" w:lineRule="auto"/>
        <w:ind w:right="560"/>
        <w:jc w:val="both"/>
        <w:rPr>
          <w:rFonts w:hint="eastAsia" w:ascii="宋体" w:hAnsi="宋体" w:cs="宋体"/>
          <w:sz w:val="24"/>
        </w:rPr>
      </w:pPr>
    </w:p>
    <w:p w14:paraId="6206CF9E">
      <w:pPr>
        <w:spacing w:line="360" w:lineRule="auto"/>
        <w:ind w:right="560"/>
        <w:jc w:val="both"/>
        <w:rPr>
          <w:rFonts w:hint="eastAsia" w:ascii="宋体" w:hAnsi="宋体" w:cs="宋体"/>
          <w:sz w:val="24"/>
        </w:rPr>
      </w:pPr>
    </w:p>
    <w:p w14:paraId="4E252C0A">
      <w:pPr>
        <w:spacing w:line="360" w:lineRule="auto"/>
        <w:ind w:right="560"/>
        <w:jc w:val="both"/>
        <w:rPr>
          <w:rFonts w:hint="eastAsia" w:ascii="宋体" w:hAnsi="宋体" w:cs="宋体"/>
          <w:sz w:val="24"/>
        </w:rPr>
      </w:pPr>
    </w:p>
    <w:p w14:paraId="74BADAA7">
      <w:pPr>
        <w:spacing w:line="360" w:lineRule="auto"/>
        <w:ind w:right="560"/>
        <w:jc w:val="both"/>
        <w:rPr>
          <w:rFonts w:hint="eastAsia" w:ascii="宋体" w:hAnsi="宋体" w:cs="宋体"/>
          <w:sz w:val="24"/>
        </w:rPr>
      </w:pPr>
    </w:p>
    <w:p w14:paraId="144B47C0">
      <w:pPr>
        <w:spacing w:line="360" w:lineRule="auto"/>
        <w:ind w:right="560"/>
        <w:jc w:val="both"/>
        <w:rPr>
          <w:rFonts w:hint="eastAsia" w:ascii="宋体" w:hAnsi="宋体" w:cs="宋体"/>
          <w:sz w:val="24"/>
        </w:rPr>
      </w:pPr>
    </w:p>
    <w:p w14:paraId="7340F13A">
      <w:pPr>
        <w:spacing w:line="360" w:lineRule="auto"/>
        <w:ind w:right="560"/>
        <w:jc w:val="both"/>
        <w:rPr>
          <w:rFonts w:hint="eastAsia" w:ascii="宋体" w:hAnsi="宋体" w:cs="宋体"/>
          <w:sz w:val="24"/>
        </w:rPr>
      </w:pPr>
    </w:p>
    <w:p w14:paraId="3BFBEB08">
      <w:pPr>
        <w:spacing w:line="360" w:lineRule="auto"/>
        <w:ind w:right="560"/>
        <w:jc w:val="both"/>
        <w:rPr>
          <w:rFonts w:hint="eastAsia" w:ascii="宋体" w:hAnsi="宋体" w:cs="宋体"/>
          <w:sz w:val="24"/>
        </w:rPr>
      </w:pPr>
    </w:p>
    <w:p w14:paraId="7A396F2D">
      <w:pPr>
        <w:spacing w:line="360" w:lineRule="auto"/>
        <w:ind w:right="560"/>
        <w:jc w:val="both"/>
        <w:rPr>
          <w:rFonts w:hint="eastAsia" w:ascii="宋体" w:hAnsi="宋体" w:cs="宋体"/>
          <w:sz w:val="24"/>
        </w:rPr>
      </w:pPr>
    </w:p>
    <w:p w14:paraId="49437EFE">
      <w:pPr>
        <w:spacing w:line="360" w:lineRule="auto"/>
        <w:ind w:right="560"/>
        <w:jc w:val="both"/>
        <w:rPr>
          <w:rFonts w:hint="default" w:ascii="宋体" w:hAnsi="宋体" w:eastAsia="宋体" w:cs="宋体"/>
          <w:sz w:val="24"/>
          <w:lang w:val="en-US" w:eastAsia="zh-CN"/>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187">
    <w:pPr>
      <w:pStyle w:val="5"/>
      <w:jc w:val="center"/>
    </w:pPr>
    <w:r>
      <w:fldChar w:fldCharType="begin"/>
    </w:r>
    <w:r>
      <w:instrText xml:space="preserve">PAGE   \* MERGEFORMAT</w:instrText>
    </w:r>
    <w:r>
      <w:fldChar w:fldCharType="separate"/>
    </w:r>
    <w:r>
      <w:rPr>
        <w:lang w:val="zh-CN"/>
      </w:rPr>
      <w:t>18</w:t>
    </w:r>
    <w:r>
      <w:fldChar w:fldCharType="end"/>
    </w:r>
  </w:p>
  <w:p w14:paraId="1F1740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8B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572E95"/>
    <w:rsid w:val="0A910E0B"/>
    <w:rsid w:val="0AD75794"/>
    <w:rsid w:val="0B723658"/>
    <w:rsid w:val="0B8E7430"/>
    <w:rsid w:val="0C0E6455"/>
    <w:rsid w:val="0C994C14"/>
    <w:rsid w:val="0D1C756F"/>
    <w:rsid w:val="0D785E51"/>
    <w:rsid w:val="0E6A08A6"/>
    <w:rsid w:val="0E993CB5"/>
    <w:rsid w:val="0EA5159B"/>
    <w:rsid w:val="0FAD71AD"/>
    <w:rsid w:val="0FB232A2"/>
    <w:rsid w:val="102571A5"/>
    <w:rsid w:val="103528C7"/>
    <w:rsid w:val="10447193"/>
    <w:rsid w:val="10685553"/>
    <w:rsid w:val="107D77B2"/>
    <w:rsid w:val="109972E9"/>
    <w:rsid w:val="10C71FB9"/>
    <w:rsid w:val="1130123A"/>
    <w:rsid w:val="116417AB"/>
    <w:rsid w:val="11990505"/>
    <w:rsid w:val="11D719B9"/>
    <w:rsid w:val="12377C75"/>
    <w:rsid w:val="12960FB7"/>
    <w:rsid w:val="12D73B07"/>
    <w:rsid w:val="130C4BFB"/>
    <w:rsid w:val="137F5319"/>
    <w:rsid w:val="13BC4112"/>
    <w:rsid w:val="13FC4B19"/>
    <w:rsid w:val="14057B62"/>
    <w:rsid w:val="141C0605"/>
    <w:rsid w:val="145B0760"/>
    <w:rsid w:val="148E2284"/>
    <w:rsid w:val="1546345F"/>
    <w:rsid w:val="154D23DD"/>
    <w:rsid w:val="156863F4"/>
    <w:rsid w:val="16B0772A"/>
    <w:rsid w:val="16BD7DED"/>
    <w:rsid w:val="178640CA"/>
    <w:rsid w:val="17C9440E"/>
    <w:rsid w:val="18721CB8"/>
    <w:rsid w:val="18D21BDA"/>
    <w:rsid w:val="193821FC"/>
    <w:rsid w:val="1A684B06"/>
    <w:rsid w:val="1B9625A1"/>
    <w:rsid w:val="1BD25A4D"/>
    <w:rsid w:val="1D4B1478"/>
    <w:rsid w:val="1D673A1C"/>
    <w:rsid w:val="1E127068"/>
    <w:rsid w:val="1F1979A7"/>
    <w:rsid w:val="1F7E3C08"/>
    <w:rsid w:val="2091237A"/>
    <w:rsid w:val="209C2412"/>
    <w:rsid w:val="21274065"/>
    <w:rsid w:val="221F4142"/>
    <w:rsid w:val="23AE20DF"/>
    <w:rsid w:val="23B51B81"/>
    <w:rsid w:val="23D0144E"/>
    <w:rsid w:val="247A452D"/>
    <w:rsid w:val="24A96F3B"/>
    <w:rsid w:val="25157A11"/>
    <w:rsid w:val="25710060"/>
    <w:rsid w:val="258D6F73"/>
    <w:rsid w:val="25925DD4"/>
    <w:rsid w:val="25FA451E"/>
    <w:rsid w:val="261E1082"/>
    <w:rsid w:val="26EF7CFA"/>
    <w:rsid w:val="2722630B"/>
    <w:rsid w:val="27383D94"/>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670841"/>
    <w:rsid w:val="2D811081"/>
    <w:rsid w:val="2F005368"/>
    <w:rsid w:val="30A57FC3"/>
    <w:rsid w:val="32166B40"/>
    <w:rsid w:val="321A3C3D"/>
    <w:rsid w:val="32747406"/>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147DBD"/>
    <w:rsid w:val="3A380A59"/>
    <w:rsid w:val="3A4A1C69"/>
    <w:rsid w:val="3A5032E7"/>
    <w:rsid w:val="3A6A792B"/>
    <w:rsid w:val="3A777A93"/>
    <w:rsid w:val="3AAB5061"/>
    <w:rsid w:val="3B5D4A7E"/>
    <w:rsid w:val="3BA35B70"/>
    <w:rsid w:val="3BC75965"/>
    <w:rsid w:val="3BE765C1"/>
    <w:rsid w:val="3C011D0B"/>
    <w:rsid w:val="3C4627DE"/>
    <w:rsid w:val="3C8F591F"/>
    <w:rsid w:val="3C9A5CBB"/>
    <w:rsid w:val="3CFC70CA"/>
    <w:rsid w:val="3DD1395F"/>
    <w:rsid w:val="3E5165AD"/>
    <w:rsid w:val="3E9A2461"/>
    <w:rsid w:val="3EDC73DD"/>
    <w:rsid w:val="3EF24C0C"/>
    <w:rsid w:val="400144C3"/>
    <w:rsid w:val="40036A20"/>
    <w:rsid w:val="408D0011"/>
    <w:rsid w:val="40AE7F87"/>
    <w:rsid w:val="41A678F2"/>
    <w:rsid w:val="41BD2505"/>
    <w:rsid w:val="41C41F31"/>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DA5179B"/>
    <w:rsid w:val="4DD16AAC"/>
    <w:rsid w:val="4E2E4D4C"/>
    <w:rsid w:val="4F322716"/>
    <w:rsid w:val="4FC17D7D"/>
    <w:rsid w:val="4FEC0A48"/>
    <w:rsid w:val="50AA4069"/>
    <w:rsid w:val="51C54874"/>
    <w:rsid w:val="51D72A7B"/>
    <w:rsid w:val="51E34706"/>
    <w:rsid w:val="52473DBA"/>
    <w:rsid w:val="535541BB"/>
    <w:rsid w:val="535850DB"/>
    <w:rsid w:val="53764934"/>
    <w:rsid w:val="53BC434B"/>
    <w:rsid w:val="53DD49B3"/>
    <w:rsid w:val="53E56A1C"/>
    <w:rsid w:val="54AB4929"/>
    <w:rsid w:val="54F76591"/>
    <w:rsid w:val="551A75C7"/>
    <w:rsid w:val="568E3C42"/>
    <w:rsid w:val="57F5088A"/>
    <w:rsid w:val="599E1B42"/>
    <w:rsid w:val="59A26915"/>
    <w:rsid w:val="5A466233"/>
    <w:rsid w:val="5A7259C5"/>
    <w:rsid w:val="5B986BAF"/>
    <w:rsid w:val="5C5F030B"/>
    <w:rsid w:val="5D7278E5"/>
    <w:rsid w:val="5EAC1951"/>
    <w:rsid w:val="5ECC7AFE"/>
    <w:rsid w:val="5EE035AA"/>
    <w:rsid w:val="5FCA0621"/>
    <w:rsid w:val="5FF80052"/>
    <w:rsid w:val="60171399"/>
    <w:rsid w:val="60A001FA"/>
    <w:rsid w:val="60AC0C42"/>
    <w:rsid w:val="61A20F78"/>
    <w:rsid w:val="61AE429E"/>
    <w:rsid w:val="623A1AB3"/>
    <w:rsid w:val="626D15F8"/>
    <w:rsid w:val="63047358"/>
    <w:rsid w:val="632C73CC"/>
    <w:rsid w:val="636E4973"/>
    <w:rsid w:val="63A31AEE"/>
    <w:rsid w:val="66A258D9"/>
    <w:rsid w:val="66C44C07"/>
    <w:rsid w:val="68A724B6"/>
    <w:rsid w:val="69CC709D"/>
    <w:rsid w:val="6A3D7B02"/>
    <w:rsid w:val="6A776E9F"/>
    <w:rsid w:val="6AA13173"/>
    <w:rsid w:val="6AAA4C90"/>
    <w:rsid w:val="6AD432EA"/>
    <w:rsid w:val="6B085AD4"/>
    <w:rsid w:val="6C026F9F"/>
    <w:rsid w:val="6C0A7D97"/>
    <w:rsid w:val="6CA80668"/>
    <w:rsid w:val="6D171304"/>
    <w:rsid w:val="6D197B8B"/>
    <w:rsid w:val="6D7E0B5E"/>
    <w:rsid w:val="6DC13859"/>
    <w:rsid w:val="6DFF0EFD"/>
    <w:rsid w:val="6E123E67"/>
    <w:rsid w:val="6E7764D5"/>
    <w:rsid w:val="6EE70791"/>
    <w:rsid w:val="6F8D5088"/>
    <w:rsid w:val="6F9A3937"/>
    <w:rsid w:val="6FD05675"/>
    <w:rsid w:val="70546F0E"/>
    <w:rsid w:val="71487932"/>
    <w:rsid w:val="714C1C60"/>
    <w:rsid w:val="71516ADD"/>
    <w:rsid w:val="71F80EDE"/>
    <w:rsid w:val="71FD4A4D"/>
    <w:rsid w:val="720B15F6"/>
    <w:rsid w:val="725256DA"/>
    <w:rsid w:val="75C8568D"/>
    <w:rsid w:val="76074DF1"/>
    <w:rsid w:val="76097D86"/>
    <w:rsid w:val="76135B49"/>
    <w:rsid w:val="775018D4"/>
    <w:rsid w:val="77B22666"/>
    <w:rsid w:val="77B74E81"/>
    <w:rsid w:val="780D6E7D"/>
    <w:rsid w:val="78106856"/>
    <w:rsid w:val="788864FA"/>
    <w:rsid w:val="78C85B10"/>
    <w:rsid w:val="79182034"/>
    <w:rsid w:val="7920406B"/>
    <w:rsid w:val="7A146AD1"/>
    <w:rsid w:val="7A3E4245"/>
    <w:rsid w:val="7A4049E3"/>
    <w:rsid w:val="7A99050A"/>
    <w:rsid w:val="7AE5230C"/>
    <w:rsid w:val="7B1B6C2F"/>
    <w:rsid w:val="7B410C9A"/>
    <w:rsid w:val="7B642211"/>
    <w:rsid w:val="7BBC0535"/>
    <w:rsid w:val="7CAF14B1"/>
    <w:rsid w:val="7CB61BD5"/>
    <w:rsid w:val="7CCE6599"/>
    <w:rsid w:val="7D1943FF"/>
    <w:rsid w:val="7D6360D7"/>
    <w:rsid w:val="7E0D734B"/>
    <w:rsid w:val="7EC34668"/>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envelope return"/>
    <w:basedOn w:val="1"/>
    <w:unhideWhenUsed/>
    <w:qFormat/>
    <w:uiPriority w:val="0"/>
    <w:pPr>
      <w:snapToGrid w:val="0"/>
      <w:spacing w:beforeLines="0" w:afterLines="0"/>
    </w:pPr>
    <w:rPr>
      <w:rFonts w:hint="eastAsia" w:ascii="Arial" w:hAnsi="Arial" w:cs="Arial"/>
      <w:sz w:val="21"/>
      <w:szCs w:val="24"/>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3210</Words>
  <Characters>3478</Characters>
  <Lines>0</Lines>
  <Paragraphs>0</Paragraphs>
  <TotalTime>1</TotalTime>
  <ScaleCrop>false</ScaleCrop>
  <LinksUpToDate>false</LinksUpToDate>
  <CharactersWithSpaces>3933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2025-03-06T08:54:00Z</cp:lastPrinted>
  <dcterms:modified xsi:type="dcterms:W3CDTF">2025-11-05T09:07:21Z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