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9982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r>
        <w:rPr>
          <w:rFonts w:hint="eastAsia" w:asciiTheme="minorEastAsia" w:hAnsiTheme="minorEastAsia" w:eastAsiaTheme="minorEastAsia"/>
          <w:b/>
          <w:color w:val="000000" w:themeColor="text1"/>
          <w:sz w:val="36"/>
          <w:szCs w:val="36"/>
          <w:lang w:eastAsia="zh-CN"/>
          <w14:textFill>
            <w14:solidFill>
              <w14:schemeClr w14:val="tx1"/>
            </w14:solidFill>
          </w14:textFill>
        </w:rPr>
        <w:t>台北美多利中小企业园可移动式光伏工程土建项目招标公告</w:t>
      </w:r>
    </w:p>
    <w:p w14:paraId="4A5A367A">
      <w:pPr>
        <w:spacing w:line="360" w:lineRule="auto"/>
        <w:rPr>
          <w:b/>
          <w:color w:val="333333"/>
          <w:sz w:val="24"/>
          <w:szCs w:val="24"/>
        </w:rPr>
      </w:pPr>
      <w:r>
        <w:rPr>
          <w:rFonts w:hint="eastAsia"/>
          <w:b/>
          <w:color w:val="333333"/>
          <w:sz w:val="24"/>
          <w:szCs w:val="24"/>
        </w:rPr>
        <w:t>一、招标条件</w:t>
      </w:r>
    </w:p>
    <w:p w14:paraId="637A4C19">
      <w:pPr>
        <w:spacing w:line="360" w:lineRule="auto"/>
        <w:ind w:left="479" w:leftChars="228" w:firstLine="0" w:firstLineChars="0"/>
        <w:rPr>
          <w:rFonts w:hint="eastAsia"/>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台北美多利中小企业园可移动式光伏工程土建项目</w:t>
      </w:r>
    </w:p>
    <w:p w14:paraId="1243E809">
      <w:pPr>
        <w:spacing w:line="360" w:lineRule="auto"/>
        <w:ind w:left="479" w:leftChars="228" w:firstLine="0" w:firstLineChars="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物资-2025（内）    </w:t>
      </w:r>
    </w:p>
    <w:p w14:paraId="6CB00430">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0102D06A">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0F73701F">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4F8F4078">
      <w:pPr>
        <w:spacing w:line="360" w:lineRule="auto"/>
        <w:rPr>
          <w:b/>
          <w:color w:val="333333"/>
          <w:sz w:val="24"/>
          <w:szCs w:val="24"/>
        </w:rPr>
      </w:pPr>
      <w:r>
        <w:rPr>
          <w:rFonts w:hint="eastAsia"/>
          <w:b/>
          <w:color w:val="333333"/>
          <w:sz w:val="24"/>
          <w:szCs w:val="24"/>
        </w:rPr>
        <w:t>二、项目概况</w:t>
      </w:r>
    </w:p>
    <w:p w14:paraId="1D2DDDBE">
      <w:pPr>
        <w:spacing w:line="360" w:lineRule="auto"/>
        <w:ind w:firstLine="480" w:firstLineChars="200"/>
        <w:rPr>
          <w:rFonts w:hint="eastAsia"/>
          <w:color w:val="333333"/>
          <w:sz w:val="24"/>
          <w:szCs w:val="24"/>
          <w:lang w:eastAsia="zh-CN"/>
        </w:rPr>
      </w:pPr>
      <w:r>
        <w:rPr>
          <w:rFonts w:hint="eastAsia"/>
          <w:color w:val="333333"/>
          <w:sz w:val="24"/>
          <w:szCs w:val="24"/>
        </w:rPr>
        <w:t>1.项目名称：</w:t>
      </w:r>
      <w:r>
        <w:rPr>
          <w:rFonts w:hint="eastAsia"/>
          <w:color w:val="333333"/>
          <w:sz w:val="24"/>
          <w:szCs w:val="24"/>
          <w:lang w:eastAsia="zh-CN"/>
        </w:rPr>
        <w:t>台北美多利中小企业园可移动式光伏工程土建项目</w:t>
      </w:r>
    </w:p>
    <w:p w14:paraId="306CCACA">
      <w:pPr>
        <w:spacing w:line="360" w:lineRule="auto"/>
        <w:ind w:firstLine="480" w:firstLineChars="200"/>
        <w:rPr>
          <w:rFonts w:hint="eastAsia" w:eastAsia="宋体"/>
          <w:color w:val="333333"/>
          <w:sz w:val="24"/>
          <w:szCs w:val="24"/>
          <w:lang w:eastAsia="zh-CN"/>
        </w:rPr>
      </w:pPr>
      <w:r>
        <w:rPr>
          <w:rFonts w:hint="eastAsia"/>
          <w:color w:val="333333"/>
          <w:sz w:val="24"/>
          <w:szCs w:val="24"/>
        </w:rPr>
        <w:t>2.工程地点：</w:t>
      </w:r>
      <w:r>
        <w:rPr>
          <w:rFonts w:hint="eastAsia"/>
          <w:color w:val="333333"/>
          <w:sz w:val="24"/>
          <w:szCs w:val="24"/>
          <w:lang w:val="en-US" w:eastAsia="zh-CN"/>
        </w:rPr>
        <w:t>开发区</w:t>
      </w:r>
    </w:p>
    <w:p w14:paraId="106DF6DC">
      <w:pPr>
        <w:spacing w:line="360" w:lineRule="auto"/>
        <w:ind w:firstLine="480" w:firstLineChars="200"/>
        <w:rPr>
          <w:color w:val="333333"/>
          <w:sz w:val="24"/>
          <w:szCs w:val="24"/>
        </w:rPr>
      </w:pPr>
      <w:r>
        <w:rPr>
          <w:rFonts w:hint="eastAsia"/>
          <w:color w:val="333333"/>
          <w:sz w:val="24"/>
          <w:szCs w:val="24"/>
        </w:rPr>
        <w:t>3.工程概况：</w:t>
      </w:r>
    </w:p>
    <w:p w14:paraId="43143AA2">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连云港市开发区</w:t>
      </w:r>
      <w:r>
        <w:rPr>
          <w:rFonts w:hint="eastAsia"/>
          <w:color w:val="333333"/>
          <w:sz w:val="24"/>
          <w:szCs w:val="24"/>
        </w:rPr>
        <w:t>，工程主要内容：</w:t>
      </w:r>
    </w:p>
    <w:tbl>
      <w:tblPr>
        <w:tblStyle w:val="46"/>
        <w:tblW w:w="10712" w:type="dxa"/>
        <w:tblInd w:w="-1157" w:type="dxa"/>
        <w:tblLayout w:type="fixed"/>
        <w:tblCellMar>
          <w:top w:w="0" w:type="dxa"/>
          <w:left w:w="108" w:type="dxa"/>
          <w:bottom w:w="0" w:type="dxa"/>
          <w:right w:w="108" w:type="dxa"/>
        </w:tblCellMar>
      </w:tblPr>
      <w:tblGrid>
        <w:gridCol w:w="850"/>
        <w:gridCol w:w="2000"/>
        <w:gridCol w:w="5462"/>
        <w:gridCol w:w="800"/>
        <w:gridCol w:w="700"/>
        <w:gridCol w:w="900"/>
      </w:tblGrid>
      <w:tr w14:paraId="5F00C311">
        <w:tblPrEx>
          <w:tblCellMar>
            <w:top w:w="0" w:type="dxa"/>
            <w:left w:w="108" w:type="dxa"/>
            <w:bottom w:w="0" w:type="dxa"/>
            <w:right w:w="108" w:type="dxa"/>
          </w:tblCellMar>
        </w:tblPrEx>
        <w:trPr>
          <w:trHeight w:val="76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B459">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CE5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ADB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A2BE">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7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8A9F90">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14E27E">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6BE775B">
        <w:tblPrEx>
          <w:tblCellMar>
            <w:top w:w="0" w:type="dxa"/>
            <w:left w:w="108" w:type="dxa"/>
            <w:bottom w:w="0" w:type="dxa"/>
            <w:right w:w="108" w:type="dxa"/>
          </w:tblCellMar>
        </w:tblPrEx>
        <w:trPr>
          <w:trHeight w:val="661"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124B">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5C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并网柜基础（含配套台阶）</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9045">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工艺详见图纸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A55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A5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2C36D">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734816CD">
        <w:tblPrEx>
          <w:tblCellMar>
            <w:top w:w="0" w:type="dxa"/>
            <w:left w:w="108" w:type="dxa"/>
            <w:bottom w:w="0" w:type="dxa"/>
            <w:right w:w="108" w:type="dxa"/>
          </w:tblCellMar>
        </w:tblPrEx>
        <w:trPr>
          <w:trHeight w:val="583"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6F69">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A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C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内径2m*2m</w:t>
            </w:r>
            <w:r>
              <w:rPr>
                <w:rFonts w:hint="eastAsia" w:ascii="宋体" w:hAnsi="宋体" w:cs="宋体"/>
                <w:i w:val="0"/>
                <w:iCs w:val="0"/>
                <w:color w:val="000000"/>
                <w:kern w:val="0"/>
                <w:sz w:val="21"/>
                <w:szCs w:val="21"/>
                <w:u w:val="none"/>
                <w:lang w:val="en-US" w:eastAsia="zh-CN" w:bidi="ar"/>
              </w:rPr>
              <w:t>、工艺详见图纸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962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EB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FA101">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64AD9AFD">
        <w:tblPrEx>
          <w:tblCellMar>
            <w:top w:w="0" w:type="dxa"/>
            <w:left w:w="108" w:type="dxa"/>
            <w:bottom w:w="0" w:type="dxa"/>
            <w:right w:w="108" w:type="dxa"/>
          </w:tblCellMar>
        </w:tblPrEx>
        <w:trPr>
          <w:trHeight w:val="603"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CEE1">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1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CPVC排管</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D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12*φ100-4.5mm </w:t>
            </w:r>
            <w:r>
              <w:rPr>
                <w:rFonts w:hint="eastAsia" w:ascii="宋体" w:hAnsi="宋体" w:cs="宋体"/>
                <w:i w:val="0"/>
                <w:iCs w:val="0"/>
                <w:color w:val="000000"/>
                <w:kern w:val="0"/>
                <w:sz w:val="21"/>
                <w:szCs w:val="21"/>
                <w:u w:val="none"/>
                <w:lang w:val="en-US" w:eastAsia="zh-CN" w:bidi="ar"/>
              </w:rPr>
              <w:t>、工艺详见图纸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0E8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45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8DA46">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311378E3">
        <w:tblPrEx>
          <w:tblCellMar>
            <w:top w:w="0" w:type="dxa"/>
            <w:left w:w="108" w:type="dxa"/>
            <w:bottom w:w="0" w:type="dxa"/>
            <w:right w:w="108" w:type="dxa"/>
          </w:tblCellMar>
        </w:tblPrEx>
        <w:trPr>
          <w:trHeight w:val="575"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C017">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D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电缆沟</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ECDD">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工艺详见图纸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51A3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78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C54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color w:val="000000"/>
                <w:kern w:val="0"/>
                <w:sz w:val="16"/>
                <w:szCs w:val="16"/>
                <w:u w:val="none"/>
                <w:lang w:bidi="ar"/>
              </w:rPr>
            </w:pPr>
          </w:p>
        </w:tc>
      </w:tr>
      <w:tr w14:paraId="0AA9C9F1">
        <w:tblPrEx>
          <w:tblCellMar>
            <w:top w:w="0" w:type="dxa"/>
            <w:left w:w="108" w:type="dxa"/>
            <w:bottom w:w="0" w:type="dxa"/>
            <w:right w:w="108" w:type="dxa"/>
          </w:tblCellMar>
        </w:tblPrEx>
        <w:trPr>
          <w:trHeight w:val="724"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4420">
            <w:pPr>
              <w:keepNext w:val="0"/>
              <w:keepLines w:val="0"/>
              <w:widowControl/>
              <w:suppressLineNumbers w:val="0"/>
              <w:jc w:val="center"/>
              <w:textAlignment w:val="center"/>
              <w:rPr>
                <w:rFonts w:hint="eastAsia" w:ascii="等线" w:hAnsi="等线" w:eastAsia="等线" w:cs="等线"/>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A5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管线穿越箱变基础孔洞开孔CPVC</w:t>
            </w:r>
          </w:p>
        </w:tc>
        <w:tc>
          <w:tcPr>
            <w:tcW w:w="5462"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32F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8个孔洞</w:t>
            </w:r>
            <w:r>
              <w:rPr>
                <w:rFonts w:hint="eastAsia" w:ascii="宋体" w:hAnsi="宋体" w:cs="宋体"/>
                <w:i w:val="0"/>
                <w:iCs w:val="0"/>
                <w:color w:val="000000"/>
                <w:kern w:val="0"/>
                <w:sz w:val="21"/>
                <w:szCs w:val="21"/>
                <w:u w:val="none"/>
                <w:lang w:val="en-US" w:eastAsia="zh-CN" w:bidi="ar"/>
              </w:rPr>
              <w:t>、工艺详见图纸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9D9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24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F456D">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5520AF51">
        <w:tblPrEx>
          <w:tblCellMar>
            <w:top w:w="0" w:type="dxa"/>
            <w:left w:w="108" w:type="dxa"/>
            <w:bottom w:w="0" w:type="dxa"/>
            <w:right w:w="108" w:type="dxa"/>
          </w:tblCellMar>
        </w:tblPrEx>
        <w:trPr>
          <w:trHeight w:val="2992"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0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围墙</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6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栏杆玻璃的种类、规格、颜色:净高大于1.8m，丝粗不小于5mm，底部离地间隙小于10cm，网孔不大于9*17cm，浸塑铁丝网围栏，顶端弯头款。立柱采用预埋式安装，预埋混凝土基础埋深不少于40cm，安装后确保基础无晃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2.固定方式:C25砼预制立柱10cm*10cm*2m高度，立柱间距5m，C20基础20cm*20cm*40cm与预制柱同时浇筑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3.含模板安拆等、进出入门等，综合考虑门数量及单开双开，综合考虑报价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4.详见图纸 符合图纸及设计要求</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A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8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D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r w14:paraId="6DBCA853">
        <w:tblPrEx>
          <w:tblCellMar>
            <w:top w:w="0" w:type="dxa"/>
            <w:left w:w="108" w:type="dxa"/>
            <w:bottom w:w="0" w:type="dxa"/>
            <w:right w:w="108" w:type="dxa"/>
          </w:tblCellMar>
        </w:tblPrEx>
        <w:trPr>
          <w:trHeight w:val="480"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CA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F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排水沟</w:t>
            </w:r>
          </w:p>
        </w:tc>
        <w:tc>
          <w:tcPr>
            <w:tcW w:w="5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348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暂列金</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D691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0E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864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bl>
    <w:p w14:paraId="1270CDB2">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78150D29">
      <w:pPr>
        <w:spacing w:line="360" w:lineRule="auto"/>
        <w:ind w:firstLine="480" w:firstLineChars="200"/>
        <w:rPr>
          <w:color w:val="333333"/>
          <w:sz w:val="24"/>
          <w:szCs w:val="24"/>
        </w:rPr>
      </w:pPr>
      <w:r>
        <w:rPr>
          <w:rFonts w:hint="eastAsia"/>
          <w:color w:val="333333"/>
          <w:sz w:val="24"/>
          <w:szCs w:val="24"/>
        </w:rPr>
        <w:t>4.计划工期：</w:t>
      </w:r>
    </w:p>
    <w:p w14:paraId="77933D56">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10</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08</w:t>
      </w:r>
      <w:r>
        <w:rPr>
          <w:rFonts w:hint="eastAsia"/>
          <w:color w:val="333333"/>
          <w:sz w:val="24"/>
          <w:szCs w:val="24"/>
        </w:rPr>
        <w:t>月</w:t>
      </w:r>
      <w:r>
        <w:rPr>
          <w:rFonts w:hint="eastAsia"/>
          <w:color w:val="333333"/>
          <w:sz w:val="24"/>
          <w:szCs w:val="24"/>
          <w:lang w:val="en-US" w:eastAsia="zh-CN"/>
        </w:rPr>
        <w:t>25</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09</w:t>
      </w:r>
      <w:r>
        <w:rPr>
          <w:rFonts w:hint="eastAsia"/>
          <w:color w:val="333333"/>
          <w:sz w:val="24"/>
          <w:szCs w:val="24"/>
        </w:rPr>
        <w:t>月</w:t>
      </w:r>
      <w:r>
        <w:rPr>
          <w:rFonts w:hint="eastAsia"/>
          <w:color w:val="333333"/>
          <w:sz w:val="24"/>
          <w:szCs w:val="24"/>
          <w:lang w:val="en-US" w:eastAsia="zh-CN"/>
        </w:rPr>
        <w:t>04</w:t>
      </w:r>
      <w:r>
        <w:rPr>
          <w:rFonts w:hint="eastAsia"/>
          <w:color w:val="333333"/>
          <w:sz w:val="24"/>
          <w:szCs w:val="24"/>
        </w:rPr>
        <w:t>日，中标人签订合同后按照工期要求组织进场施工。</w:t>
      </w:r>
    </w:p>
    <w:p w14:paraId="1361936D">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524FDEBE">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165125.00</w:t>
      </w:r>
      <w:r>
        <w:rPr>
          <w:rFonts w:hint="eastAsia"/>
          <w:color w:val="333333"/>
          <w:sz w:val="24"/>
          <w:szCs w:val="24"/>
        </w:rPr>
        <w:t>元。（超出限价视作无效标处理）。</w:t>
      </w:r>
    </w:p>
    <w:p w14:paraId="0EC24BF4">
      <w:pPr>
        <w:pStyle w:val="2"/>
        <w:spacing w:after="0" w:line="360" w:lineRule="auto"/>
        <w:ind w:left="0" w:leftChars="0" w:firstLine="480"/>
        <w:rPr>
          <w:color w:val="333333"/>
          <w:sz w:val="24"/>
        </w:rPr>
      </w:pPr>
      <w:r>
        <w:rPr>
          <w:rFonts w:hint="eastAsia"/>
          <w:color w:val="333333"/>
          <w:sz w:val="24"/>
        </w:rPr>
        <w:t>7.合同形式：本工程采用固定单价合同。</w:t>
      </w:r>
    </w:p>
    <w:p w14:paraId="5ECBEBF8">
      <w:pPr>
        <w:spacing w:line="360" w:lineRule="auto"/>
        <w:rPr>
          <w:b/>
          <w:color w:val="333333"/>
          <w:sz w:val="24"/>
          <w:szCs w:val="24"/>
        </w:rPr>
      </w:pPr>
      <w:r>
        <w:rPr>
          <w:rFonts w:hint="eastAsia"/>
          <w:b/>
          <w:color w:val="333333"/>
          <w:sz w:val="24"/>
          <w:szCs w:val="24"/>
        </w:rPr>
        <w:t>三、投标人的资格要求：</w:t>
      </w:r>
    </w:p>
    <w:p w14:paraId="2083E0EC">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548E2D08">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8CE2542">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2024-2025年内</w:t>
      </w:r>
      <w:r>
        <w:rPr>
          <w:rFonts w:hint="eastAsia"/>
          <w:color w:val="333333"/>
          <w:sz w:val="24"/>
          <w:szCs w:val="24"/>
          <w:highlight w:val="none"/>
          <w:lang w:eastAsia="zh-CN"/>
        </w:rPr>
        <w:t>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18F33C19">
      <w:pPr>
        <w:pStyle w:val="18"/>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金额不低于15万元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745E80FC">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46227B29">
      <w:pPr>
        <w:spacing w:line="360" w:lineRule="auto"/>
        <w:ind w:firstLine="480" w:firstLineChars="200"/>
        <w:rPr>
          <w:rFonts w:hint="eastAsia" w:eastAsia="宋体"/>
          <w:b/>
          <w:color w:val="333333"/>
          <w:sz w:val="24"/>
          <w:szCs w:val="24"/>
          <w:lang w:eastAsia="zh-CN"/>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建造师及安全员需提供</w:t>
      </w:r>
      <w:r>
        <w:rPr>
          <w:rFonts w:hint="eastAsia"/>
          <w:color w:val="333333"/>
          <w:sz w:val="24"/>
          <w:szCs w:val="24"/>
          <w:lang w:eastAsia="zh-CN"/>
        </w:rPr>
        <w:t>2025年01月-2025年06月</w:t>
      </w:r>
      <w:r>
        <w:rPr>
          <w:rFonts w:hint="eastAsia"/>
          <w:color w:val="333333"/>
          <w:sz w:val="24"/>
          <w:szCs w:val="24"/>
        </w:rPr>
        <w:t>社保缴纳证明）</w:t>
      </w:r>
      <w:r>
        <w:rPr>
          <w:rFonts w:hint="eastAsia"/>
          <w:color w:val="333333"/>
          <w:sz w:val="24"/>
          <w:szCs w:val="24"/>
          <w:lang w:eastAsia="zh-CN"/>
        </w:rPr>
        <w:t>；</w:t>
      </w:r>
    </w:p>
    <w:p w14:paraId="1313DBDB">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2BA525DB">
      <w:pPr>
        <w:spacing w:line="360" w:lineRule="auto"/>
        <w:rPr>
          <w:b/>
          <w:color w:val="333333"/>
          <w:sz w:val="24"/>
          <w:szCs w:val="24"/>
        </w:rPr>
      </w:pPr>
      <w:r>
        <w:rPr>
          <w:rFonts w:hint="eastAsia"/>
          <w:b/>
          <w:color w:val="333333"/>
          <w:sz w:val="24"/>
          <w:szCs w:val="24"/>
        </w:rPr>
        <w:t>四、获取招标文件</w:t>
      </w:r>
    </w:p>
    <w:p w14:paraId="06C7903C">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2025年08月12日</w:t>
      </w:r>
      <w:r>
        <w:rPr>
          <w:rFonts w:hint="eastAsia"/>
          <w:color w:val="333333"/>
          <w:sz w:val="24"/>
          <w:szCs w:val="24"/>
          <w:lang w:val="en-US" w:eastAsia="zh-CN"/>
        </w:rPr>
        <w:t>至2025年08月18日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24CD10F9">
      <w:pPr>
        <w:spacing w:line="360" w:lineRule="auto"/>
        <w:rPr>
          <w:b/>
          <w:color w:val="333333"/>
          <w:sz w:val="24"/>
          <w:szCs w:val="24"/>
        </w:rPr>
      </w:pPr>
      <w:r>
        <w:rPr>
          <w:rFonts w:hint="eastAsia"/>
          <w:b/>
          <w:color w:val="333333"/>
          <w:sz w:val="24"/>
          <w:szCs w:val="24"/>
        </w:rPr>
        <w:t>五、提交投标文件截止时间、开标时间和地点</w:t>
      </w:r>
    </w:p>
    <w:p w14:paraId="1D975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08月22日09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73BF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D82A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4A5B9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43176794">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10D98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1FF98A2B">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3C48FEE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w:t>
      </w:r>
      <w:r>
        <w:rPr>
          <w:rFonts w:hint="eastAsia"/>
          <w:color w:val="333333"/>
          <w:kern w:val="2"/>
          <w:sz w:val="24"/>
          <w:highlight w:val="yellow"/>
          <w:lang w:val="en-US" w:eastAsia="zh-CN"/>
        </w:rPr>
        <w:t>合理低价法</w:t>
      </w:r>
      <w:r>
        <w:rPr>
          <w:rFonts w:hint="eastAsia" w:cs="Times New Roman"/>
          <w:color w:val="333333"/>
          <w:kern w:val="2"/>
          <w:sz w:val="24"/>
          <w:szCs w:val="24"/>
          <w:lang w:val="en-US" w:eastAsia="zh-CN" w:bidi="ar-SA"/>
        </w:rPr>
        <w:t>。</w:t>
      </w:r>
    </w:p>
    <w:p w14:paraId="3A2B7D76">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C031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14:paraId="066CB12A">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5ECF8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0A152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37C04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14F36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叁仟元整</w:t>
      </w:r>
      <w:r>
        <w:rPr>
          <w:rFonts w:hint="eastAsia"/>
          <w:color w:val="333333"/>
          <w:sz w:val="24"/>
          <w:szCs w:val="24"/>
        </w:rPr>
        <w:t>（￥</w:t>
      </w:r>
      <w:r>
        <w:rPr>
          <w:rFonts w:hint="eastAsia"/>
          <w:color w:val="333333"/>
          <w:sz w:val="24"/>
          <w:szCs w:val="24"/>
          <w:lang w:val="en-US" w:eastAsia="zh-CN"/>
        </w:rPr>
        <w:t>3000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7B654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79FED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1C148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7DCCD3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3225A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39F2E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2C052238">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69618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2B7B1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0A741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CA9B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0510F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5C9D25F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E4A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04E3C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7EBC6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王先生    </w:t>
      </w:r>
    </w:p>
    <w:p w14:paraId="552590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话：19351857325           </w:t>
      </w:r>
    </w:p>
    <w:p w14:paraId="545042A3">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0CE4022F">
      <w:pPr>
        <w:ind w:left="283" w:leftChars="135"/>
        <w:jc w:val="right"/>
        <w:rPr>
          <w:rFonts w:hint="eastAsia"/>
          <w:color w:val="333333"/>
          <w:sz w:val="24"/>
          <w:szCs w:val="24"/>
          <w:lang w:eastAsia="zh-CN"/>
        </w:rPr>
      </w:pPr>
    </w:p>
    <w:p w14:paraId="10456EF4">
      <w:pPr>
        <w:jc w:val="right"/>
        <w:rPr>
          <w:rFonts w:cs="仿宋" w:asciiTheme="minorEastAsia" w:hAnsiTheme="minorEastAsia" w:eastAsiaTheme="minorEastAsia"/>
          <w:bCs/>
          <w:snapToGrid w:val="0"/>
          <w:kern w:val="0"/>
          <w:szCs w:val="21"/>
        </w:rPr>
      </w:pPr>
      <w:r>
        <w:rPr>
          <w:rFonts w:hint="eastAsia"/>
          <w:color w:val="333333"/>
          <w:sz w:val="24"/>
          <w:szCs w:val="24"/>
          <w:lang w:eastAsia="zh-CN"/>
        </w:rPr>
        <w:t>2025年08月12日</w:t>
      </w:r>
      <w:bookmarkStart w:id="0" w:name="_GoBack"/>
      <w:bookmarkEnd w:id="0"/>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30"/>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196A0E"/>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F67276"/>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456F7B"/>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04FC3"/>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97B7A"/>
    <w:rsid w:val="33FD11F1"/>
    <w:rsid w:val="34186E54"/>
    <w:rsid w:val="341F1765"/>
    <w:rsid w:val="34906072"/>
    <w:rsid w:val="34D2441F"/>
    <w:rsid w:val="34DF2FE2"/>
    <w:rsid w:val="34E615BF"/>
    <w:rsid w:val="350741B2"/>
    <w:rsid w:val="35C91817"/>
    <w:rsid w:val="35DC2F89"/>
    <w:rsid w:val="35F52474"/>
    <w:rsid w:val="361401EA"/>
    <w:rsid w:val="361726DC"/>
    <w:rsid w:val="370C6381"/>
    <w:rsid w:val="37533DCC"/>
    <w:rsid w:val="375D66BB"/>
    <w:rsid w:val="379877F3"/>
    <w:rsid w:val="37BE184F"/>
    <w:rsid w:val="37EF7C5B"/>
    <w:rsid w:val="38135333"/>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9C3FAE"/>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2D34F9"/>
    <w:rsid w:val="45354ED9"/>
    <w:rsid w:val="45543410"/>
    <w:rsid w:val="457B0D80"/>
    <w:rsid w:val="469456C6"/>
    <w:rsid w:val="46EB62FC"/>
    <w:rsid w:val="46FD4F7D"/>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DE54CEA"/>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C707EE6"/>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0C7015"/>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23173C"/>
    <w:rsid w:val="6F8A7F3D"/>
    <w:rsid w:val="6FB06096"/>
    <w:rsid w:val="6FC01244"/>
    <w:rsid w:val="6FCA6A36"/>
    <w:rsid w:val="703A75A8"/>
    <w:rsid w:val="708811A7"/>
    <w:rsid w:val="717736E3"/>
    <w:rsid w:val="71B72890"/>
    <w:rsid w:val="72BA3507"/>
    <w:rsid w:val="735D4687"/>
    <w:rsid w:val="736753A2"/>
    <w:rsid w:val="736C11BF"/>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6">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8">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10">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1">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2">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3">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next w:val="4"/>
    <w:link w:val="127"/>
    <w:autoRedefine/>
    <w:unhideWhenUsed/>
    <w:qFormat/>
    <w:uiPriority w:val="0"/>
    <w:pPr>
      <w:spacing w:after="120"/>
      <w:ind w:left="420" w:leftChars="200"/>
    </w:pPr>
    <w:rPr>
      <w:kern w:val="0"/>
      <w:sz w:val="20"/>
      <w:szCs w:val="24"/>
    </w:rPr>
  </w:style>
  <w:style w:type="paragraph" w:styleId="4">
    <w:name w:val="envelope return"/>
    <w:basedOn w:val="1"/>
    <w:autoRedefine/>
    <w:unhideWhenUsed/>
    <w:qFormat/>
    <w:uiPriority w:val="0"/>
    <w:pPr>
      <w:snapToGrid w:val="0"/>
    </w:pPr>
    <w:rPr>
      <w:rFonts w:hint="eastAsia" w:ascii="Arial" w:hAnsi="Arial" w:cs="Arial"/>
      <w:szCs w:val="24"/>
    </w:rPr>
  </w:style>
  <w:style w:type="paragraph" w:styleId="14">
    <w:name w:val="toc 7"/>
    <w:basedOn w:val="1"/>
    <w:next w:val="1"/>
    <w:autoRedefine/>
    <w:qFormat/>
    <w:uiPriority w:val="0"/>
    <w:pPr>
      <w:ind w:left="2520" w:leftChars="1200"/>
    </w:pPr>
    <w:rPr>
      <w:rFonts w:ascii="Calibri" w:hAnsi="Calibri"/>
      <w:szCs w:val="22"/>
    </w:rPr>
  </w:style>
  <w:style w:type="paragraph" w:styleId="15">
    <w:name w:val="Normal Indent"/>
    <w:basedOn w:val="1"/>
    <w:link w:val="117"/>
    <w:autoRedefine/>
    <w:qFormat/>
    <w:uiPriority w:val="0"/>
    <w:pPr>
      <w:ind w:firstLine="420" w:firstLineChars="200"/>
    </w:pPr>
    <w:rPr>
      <w:rFonts w:ascii="Calibri" w:hAnsi="Calibri"/>
      <w:szCs w:val="24"/>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135"/>
    <w:autoRedefine/>
    <w:unhideWhenUsed/>
    <w:qFormat/>
    <w:uiPriority w:val="0"/>
    <w:pPr>
      <w:shd w:val="clear" w:color="auto" w:fill="000080"/>
    </w:pPr>
  </w:style>
  <w:style w:type="paragraph" w:styleId="18">
    <w:name w:val="annotation text"/>
    <w:basedOn w:val="1"/>
    <w:link w:val="100"/>
    <w:autoRedefine/>
    <w:unhideWhenUsed/>
    <w:qFormat/>
    <w:uiPriority w:val="0"/>
    <w:pPr>
      <w:jc w:val="left"/>
    </w:pPr>
    <w:rPr>
      <w:rFonts w:ascii="Calibri" w:hAnsi="Calibri"/>
      <w:kern w:val="0"/>
      <w:sz w:val="20"/>
    </w:rPr>
  </w:style>
  <w:style w:type="paragraph" w:styleId="19">
    <w:name w:val="Body Text 3"/>
    <w:basedOn w:val="1"/>
    <w:link w:val="153"/>
    <w:autoRedefine/>
    <w:unhideWhenUsed/>
    <w:qFormat/>
    <w:uiPriority w:val="0"/>
    <w:pPr>
      <w:spacing w:after="120"/>
    </w:pPr>
    <w:rPr>
      <w:rFonts w:ascii="Calibri" w:hAnsi="Calibri"/>
      <w:kern w:val="0"/>
      <w:sz w:val="16"/>
      <w:szCs w:val="16"/>
    </w:rPr>
  </w:style>
  <w:style w:type="paragraph" w:styleId="20">
    <w:name w:val="Body Text"/>
    <w:basedOn w:val="1"/>
    <w:next w:val="1"/>
    <w:link w:val="59"/>
    <w:autoRedefine/>
    <w:unhideWhenUsed/>
    <w:qFormat/>
    <w:uiPriority w:val="0"/>
    <w:pPr>
      <w:spacing w:after="120"/>
    </w:pPr>
  </w:style>
  <w:style w:type="paragraph" w:styleId="21">
    <w:name w:val="List 2"/>
    <w:basedOn w:val="1"/>
    <w:autoRedefine/>
    <w:qFormat/>
    <w:uiPriority w:val="0"/>
    <w:pPr>
      <w:ind w:left="100" w:leftChars="200" w:hanging="200" w:hangingChars="200"/>
    </w:pPr>
    <w:rPr>
      <w:szCs w:val="24"/>
    </w:rPr>
  </w:style>
  <w:style w:type="paragraph" w:styleId="22">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3">
    <w:name w:val="index 4"/>
    <w:basedOn w:val="1"/>
    <w:next w:val="1"/>
    <w:autoRedefine/>
    <w:qFormat/>
    <w:uiPriority w:val="0"/>
    <w:pPr>
      <w:ind w:left="600" w:leftChars="600"/>
    </w:pPr>
    <w:rPr>
      <w:szCs w:val="24"/>
    </w:rPr>
  </w:style>
  <w:style w:type="paragraph" w:styleId="24">
    <w:name w:val="toc 3"/>
    <w:basedOn w:val="1"/>
    <w:next w:val="1"/>
    <w:autoRedefine/>
    <w:unhideWhenUsed/>
    <w:qFormat/>
    <w:uiPriority w:val="39"/>
    <w:pPr>
      <w:ind w:left="840" w:leftChars="400"/>
    </w:pPr>
  </w:style>
  <w:style w:type="paragraph" w:styleId="25">
    <w:name w:val="Plain Text"/>
    <w:basedOn w:val="1"/>
    <w:link w:val="76"/>
    <w:autoRedefine/>
    <w:unhideWhenUsed/>
    <w:qFormat/>
    <w:uiPriority w:val="0"/>
    <w:pPr>
      <w:spacing w:line="300" w:lineRule="auto"/>
    </w:pPr>
    <w:rPr>
      <w:rFonts w:ascii="宋体" w:hAnsi="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61"/>
    <w:autoRedefine/>
    <w:unhideWhenUsed/>
    <w:qFormat/>
    <w:uiPriority w:val="0"/>
    <w:pPr>
      <w:ind w:left="100" w:leftChars="2500"/>
    </w:pPr>
    <w:rPr>
      <w:szCs w:val="22"/>
    </w:rPr>
  </w:style>
  <w:style w:type="paragraph" w:styleId="28">
    <w:name w:val="Body Text Indent 2"/>
    <w:basedOn w:val="1"/>
    <w:link w:val="82"/>
    <w:autoRedefine/>
    <w:qFormat/>
    <w:uiPriority w:val="0"/>
    <w:pPr>
      <w:spacing w:after="120" w:line="480" w:lineRule="auto"/>
      <w:ind w:left="420" w:leftChars="200"/>
    </w:pPr>
    <w:rPr>
      <w:szCs w:val="24"/>
    </w:rPr>
  </w:style>
  <w:style w:type="paragraph" w:styleId="29">
    <w:name w:val="Balloon Text"/>
    <w:basedOn w:val="1"/>
    <w:link w:val="81"/>
    <w:autoRedefine/>
    <w:unhideWhenUsed/>
    <w:qFormat/>
    <w:uiPriority w:val="0"/>
    <w:rPr>
      <w:rFonts w:ascii="Calibri" w:hAnsi="Calibri"/>
      <w:kern w:val="0"/>
      <w:sz w:val="18"/>
      <w:szCs w:val="18"/>
    </w:rPr>
  </w:style>
  <w:style w:type="paragraph" w:styleId="30">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8"/>
    <w:next w:val="18"/>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20"/>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7"/>
    <w:autoRedefine/>
    <w:qFormat/>
    <w:uiPriority w:val="0"/>
    <w:rPr>
      <w:kern w:val="2"/>
      <w:sz w:val="21"/>
      <w:szCs w:val="22"/>
    </w:rPr>
  </w:style>
  <w:style w:type="character" w:customStyle="1" w:styleId="62">
    <w:name w:val="标题 6 Char"/>
    <w:link w:val="10"/>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5"/>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7"/>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9"/>
    <w:autoRedefine/>
    <w:qFormat/>
    <w:uiPriority w:val="0"/>
    <w:rPr>
      <w:rFonts w:ascii="Calibri" w:hAnsi="Calibri" w:eastAsia="宋体" w:cs="Times New Roman"/>
      <w:sz w:val="18"/>
      <w:szCs w:val="18"/>
    </w:rPr>
  </w:style>
  <w:style w:type="character" w:customStyle="1" w:styleId="82">
    <w:name w:val="正文文本缩进 2 Char"/>
    <w:link w:val="28"/>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20"/>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5"/>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8"/>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1"/>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2"/>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5"/>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6"/>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3"/>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7"/>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9"/>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9"/>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7"/>
    <w:link w:val="159"/>
    <w:autoRedefine/>
    <w:qFormat/>
    <w:uiPriority w:val="0"/>
    <w:pPr>
      <w:spacing w:line="413" w:lineRule="auto"/>
    </w:pPr>
    <w:rPr>
      <w:rFonts w:ascii="Arial" w:hAnsi="Arial"/>
      <w:sz w:val="24"/>
    </w:rPr>
  </w:style>
  <w:style w:type="character" w:customStyle="1" w:styleId="161">
    <w:name w:val="标题 4 Char"/>
    <w:link w:val="8"/>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30"/>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7"/>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6"/>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5"/>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5"/>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7"/>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5"/>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7"/>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5"/>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5"/>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7"/>
    <w:qFormat/>
    <w:uiPriority w:val="0"/>
    <w:rPr>
      <w:rFonts w:ascii="Calibri" w:hAnsi="Calibri"/>
      <w:szCs w:val="24"/>
    </w:rPr>
  </w:style>
  <w:style w:type="paragraph" w:customStyle="1" w:styleId="277">
    <w:name w:val="样式 标题 3 + (中文) 黑体 小四 非加粗 段前: 7.8 磅 段后: 0 磅 行距: 固定值 20 磅"/>
    <w:basedOn w:val="7"/>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5"/>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2051</Words>
  <Characters>2388</Characters>
  <Lines>161</Lines>
  <Paragraphs>45</Paragraphs>
  <TotalTime>0</TotalTime>
  <ScaleCrop>false</ScaleCrop>
  <LinksUpToDate>false</LinksUpToDate>
  <CharactersWithSpaces>2440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2025-04-18T09:13:00Z</cp:lastPrinted>
  <dcterms:modified xsi:type="dcterms:W3CDTF">2025-08-13T02:31:48Z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