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华能灌西盐场300MW渔光互补盐文化绿色能源项目采购镀锌钢管项目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华能灌西盐场300MW渔光互补盐文化绿色能源项目采购镀锌钢管项目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462" w:type="dxa"/>
        <w:tblInd w:w="-1049" w:type="dxa"/>
        <w:shd w:val="clear" w:color="auto" w:fill="auto"/>
        <w:tblLayout w:type="fixed"/>
        <w:tblCellMar>
          <w:top w:w="0" w:type="dxa"/>
          <w:left w:w="0" w:type="dxa"/>
          <w:bottom w:w="0" w:type="dxa"/>
          <w:right w:w="0" w:type="dxa"/>
        </w:tblCellMar>
      </w:tblPr>
      <w:tblGrid>
        <w:gridCol w:w="662"/>
        <w:gridCol w:w="2899"/>
        <w:gridCol w:w="2950"/>
        <w:gridCol w:w="1451"/>
        <w:gridCol w:w="1438"/>
        <w:gridCol w:w="1062"/>
      </w:tblGrid>
      <w:tr w14:paraId="3CA2B1E7">
        <w:tblPrEx>
          <w:shd w:val="clear" w:color="auto" w:fill="auto"/>
          <w:tblCellMar>
            <w:top w:w="0" w:type="dxa"/>
            <w:left w:w="0" w:type="dxa"/>
            <w:bottom w:w="0" w:type="dxa"/>
            <w:right w:w="0" w:type="dxa"/>
          </w:tblCellMar>
        </w:tblPrEx>
        <w:trPr>
          <w:trHeight w:val="591"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4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06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1</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镀锌钢管</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Φ200*6mm</w:t>
            </w:r>
          </w:p>
        </w:tc>
        <w:tc>
          <w:tcPr>
            <w:tcW w:w="145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吨</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132</w:t>
            </w:r>
          </w:p>
        </w:tc>
        <w:tc>
          <w:tcPr>
            <w:tcW w:w="10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47361B90">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2</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镀锌钢管</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Φ50*3.75mm</w:t>
            </w:r>
          </w:p>
        </w:tc>
        <w:tc>
          <w:tcPr>
            <w:tcW w:w="145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吨</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23</w:t>
            </w:r>
          </w:p>
        </w:tc>
        <w:tc>
          <w:tcPr>
            <w:tcW w:w="10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cs="宋体"/>
                <w:sz w:val="21"/>
                <w:szCs w:val="21"/>
                <w:u w:val="none"/>
                <w:lang w:val="en-US" w:eastAsia="zh-CN"/>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产品交付期限：第一批2025年08月0</w:t>
      </w:r>
      <w:r>
        <w:rPr>
          <w:rFonts w:hint="eastAsia" w:ascii="宋体" w:hAnsi="宋体" w:cs="宋体"/>
          <w:sz w:val="24"/>
          <w:lang w:val="en-US" w:eastAsia="zh-CN"/>
        </w:rPr>
        <w:t>8</w:t>
      </w:r>
      <w:r>
        <w:rPr>
          <w:rFonts w:hint="eastAsia" w:ascii="宋体" w:hAnsi="宋体" w:cs="宋体"/>
          <w:sz w:val="24"/>
        </w:rPr>
        <w:t>日前供货，第二批2025年08月</w:t>
      </w:r>
      <w:r>
        <w:rPr>
          <w:rFonts w:hint="eastAsia" w:ascii="宋体" w:hAnsi="宋体" w:cs="宋体"/>
          <w:sz w:val="24"/>
          <w:lang w:val="en-US" w:eastAsia="zh-CN"/>
        </w:rPr>
        <w:t>13</w:t>
      </w:r>
      <w:r>
        <w:rPr>
          <w:rFonts w:hint="eastAsia" w:ascii="宋体" w:hAnsi="宋体" w:cs="宋体"/>
          <w:sz w:val="24"/>
        </w:rPr>
        <w:t>日前供货。（钢管第一批，第二批的供货量分别是总量的一半）。</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08</w:t>
      </w:r>
      <w:r>
        <w:rPr>
          <w:rFonts w:hint="eastAsia" w:ascii="宋体" w:hAnsi="宋体" w:cs="宋体"/>
          <w:sz w:val="24"/>
          <w:highlight w:val="yellow"/>
        </w:rPr>
        <w:t>月</w:t>
      </w:r>
      <w:r>
        <w:rPr>
          <w:rFonts w:hint="eastAsia" w:ascii="宋体" w:hAnsi="宋体" w:cs="宋体"/>
          <w:sz w:val="24"/>
          <w:highlight w:val="yellow"/>
          <w:lang w:val="en-US" w:eastAsia="zh-CN"/>
        </w:rPr>
        <w:t>04</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cs="宋体"/>
          <w:sz w:val="24"/>
          <w:szCs w:val="24"/>
          <w:lang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szCs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835304.00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2024-2025年内三个月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5AE801A9">
      <w:pPr>
        <w:spacing w:line="360" w:lineRule="auto"/>
        <w:ind w:firstLine="480" w:firstLineChars="200"/>
        <w:jc w:val="left"/>
        <w:rPr>
          <w:rFonts w:hint="eastAsia" w:ascii="宋体" w:hAns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 xml:space="preserve">电汇，合同签订后，乙方若出具银行开具合同总价20%的履约保函，甲方在收到保函7个工作日内向卖方支付合同总价20％的预付款，发货前，乙方提供第一批供货实际发生量的全额增值税发票（税率13%），甲方收到发票后支付第一批供货实际发生量的金额的95%。第二批次发货前，乙方提供第二批供货实际发生量的全额增值税发票（税率13%），甲方收到发票后支付第二批供货实际发生量的金额的95%。剩余5%货款在最后一批发货满一年后的一周内支付或者卖方在最后一批发货后向买方开具二年期银行质量保函，买方收到保函后一周内向卖方支付，以先到为准。 </w:t>
      </w:r>
    </w:p>
    <w:p w14:paraId="0D6ACD5A">
      <w:pPr>
        <w:spacing w:line="360" w:lineRule="auto"/>
        <w:ind w:firstLine="480" w:firstLineChars="200"/>
        <w:jc w:val="left"/>
        <w:rPr>
          <w:rFonts w:hint="eastAsia" w:ascii="宋体" w:hAnsi="宋体" w:cs="宋体"/>
          <w:sz w:val="24"/>
        </w:rPr>
      </w:pPr>
      <w:r>
        <w:rPr>
          <w:rFonts w:hint="eastAsia" w:ascii="宋体" w:hAnsi="宋体" w:cs="宋体"/>
          <w:sz w:val="24"/>
        </w:rPr>
        <w:t>按实结算，最终结算数量以甲方要求供货的实际供货验收数量为准，上下增减均不超过10%。单价执行投标时的综合单价；即结算价为:实际工程量乘以投标时综合单价。</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53F65CD3">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人：匡先生               电话：19901537252</w:t>
      </w:r>
    </w:p>
    <w:p w14:paraId="6505B383">
      <w:pPr>
        <w:spacing w:line="360" w:lineRule="auto"/>
        <w:ind w:firstLine="480" w:firstLineChars="200"/>
        <w:jc w:val="left"/>
        <w:rPr>
          <w:rFonts w:hint="eastAsia" w:ascii="宋体" w:hAnsi="宋体" w:cs="宋体"/>
          <w:sz w:val="24"/>
          <w:lang w:val="en-US" w:eastAsia="zh-CN"/>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257200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依法缴纳税收的记录（2024-2025年三个月【税收所属日期】）（加盖公章）</w:t>
      </w:r>
    </w:p>
    <w:p w14:paraId="347EB5F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5ED0BDB2">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8、合同模板</w:t>
      </w:r>
    </w:p>
    <w:p w14:paraId="6C15F0B7">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9、技术参数</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3C605B8D">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7376"/>
      <w:bookmarkStart w:id="1" w:name="_Toc61871372"/>
      <w:bookmarkStart w:id="2" w:name="_Toc61871288"/>
      <w:bookmarkStart w:id="3" w:name="_Toc60818732"/>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依法缴纳税收的记录（2024-2025年三个月【税收所属日期】）（加盖公章）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1094740</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6.2pt;height:30.7pt;width:19.05pt;z-index:251661312;v-text-anchor:middle;mso-width-relative:page;mso-height-relative:page;" fillcolor="#C00000" filled="t" stroked="t" coordsize="21600,21600" o:gfxdata="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KVfIDtcAAAALAQAADwAAAAAAAAABACAAAAAiAAAAZHJzL2Rvd25yZXYueG1sUEsBAhQA&#10;FAAAAAgAh07iQMvyPKeeAgAAMwUAAA4AAAAAAAAAAQAgAAAAJgEAAGRycy9lMm9Eb2MueG1sUEsF&#10;BgAAAAAGAAYAWQEAADYGA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3014345</wp:posOffset>
                </wp:positionH>
                <wp:positionV relativeFrom="paragraph">
                  <wp:posOffset>1534795</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7.35pt;margin-top:120.85pt;height:34.1pt;width:128.85pt;z-index:251659264;v-text-anchor:middle;mso-width-relative:page;mso-height-relative:page;" filled="f" stroked="t" coordsize="21600,21600" o:gfxdata="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UDjGd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7350"/>
            <wp:effectExtent l="0" t="0" r="6985" b="635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292735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2437765</wp:posOffset>
                </wp:positionH>
                <wp:positionV relativeFrom="paragraph">
                  <wp:posOffset>1074420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95pt;margin-top:84.6pt;height:35.45pt;width:21.15pt;z-index:251662336;v-text-anchor:middle;mso-width-relative:page;mso-height-relative:page;" fillcolor="#C00000" filled="t" stroked="t" coordsize="21600,21600" o:gfxdata="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LLnSl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1942465</wp:posOffset>
                </wp:positionH>
                <wp:positionV relativeFrom="paragraph">
                  <wp:posOffset>1616075</wp:posOffset>
                </wp:positionV>
                <wp:extent cx="1186815" cy="353695"/>
                <wp:effectExtent l="13970" t="13970" r="18415" b="32385"/>
                <wp:wrapNone/>
                <wp:docPr id="6" name="矩形 6"/>
                <wp:cNvGraphicFramePr/>
                <a:graphic xmlns:a="http://schemas.openxmlformats.org/drawingml/2006/main">
                  <a:graphicData uri="http://schemas.microsoft.com/office/word/2010/wordprocessingShape">
                    <wps:wsp>
                      <wps:cNvSpPr/>
                      <wps:spPr>
                        <a:xfrm>
                          <a:off x="3559810" y="8270875"/>
                          <a:ext cx="1186815" cy="353695"/>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5pt;margin-top:127.25pt;height:27.85pt;width:93.45pt;z-index:251660288;v-text-anchor:middle;mso-width-relative:page;mso-height-relative:page;" filled="f" stroked="t" coordsize="21600,21600" o:gfxdata="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lx862gAAAAsBAAAPAAAA&#10;AAAAAAEAIAAAACIAAABkcnMvZG93bnJldi54bWxQSwECFAAUAAAACACHTuJAsR7NyYUCAADtBAAA&#10;DgAAAAAAAAABACAAAAApAQAAZHJzL2Uyb0RvYy54bWxQSwUGAAAAAAYABgBZAQAAIAY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793365"/>
            <wp:effectExtent l="0" t="0" r="1905" b="698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793365"/>
                    </a:xfrm>
                    <a:prstGeom prst="rect">
                      <a:avLst/>
                    </a:prstGeom>
                  </pic:spPr>
                </pic:pic>
              </a:graphicData>
            </a:graphic>
          </wp:inline>
        </w:drawing>
      </w:r>
    </w:p>
    <w:p w14:paraId="77FB1024">
      <w:pPr>
        <w:numPr>
          <w:ilvl w:val="0"/>
          <w:numId w:val="0"/>
        </w:numPr>
        <w:spacing w:line="360" w:lineRule="auto"/>
        <w:ind w:right="560" w:rightChars="0"/>
        <w:jc w:val="both"/>
        <w:rPr>
          <w:rFonts w:hint="eastAsia"/>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64DE2720">
      <w:pPr>
        <w:spacing w:line="360" w:lineRule="auto"/>
        <w:ind w:right="560"/>
        <w:jc w:val="both"/>
        <w:rPr>
          <w:rFonts w:hint="eastAsia" w:ascii="宋体" w:hAnsi="宋体" w:cs="宋体"/>
          <w:sz w:val="24"/>
        </w:rPr>
      </w:pPr>
    </w:p>
    <w:p w14:paraId="479F69CC">
      <w:pPr>
        <w:spacing w:line="360" w:lineRule="auto"/>
        <w:ind w:right="560"/>
        <w:jc w:val="both"/>
        <w:rPr>
          <w:rFonts w:hint="eastAsia" w:ascii="宋体" w:hAnsi="宋体" w:cs="宋体"/>
          <w:sz w:val="24"/>
        </w:rPr>
      </w:pPr>
    </w:p>
    <w:p w14:paraId="526EFF4C">
      <w:pPr>
        <w:spacing w:line="360" w:lineRule="auto"/>
        <w:ind w:right="560"/>
        <w:jc w:val="both"/>
        <w:rPr>
          <w:rFonts w:hint="eastAsia" w:ascii="宋体" w:hAnsi="宋体" w:cs="宋体"/>
          <w:sz w:val="24"/>
        </w:rPr>
      </w:pPr>
    </w:p>
    <w:p w14:paraId="4CF09782">
      <w:pPr>
        <w:spacing w:line="360" w:lineRule="auto"/>
        <w:ind w:right="560"/>
        <w:jc w:val="both"/>
        <w:rPr>
          <w:rFonts w:hint="eastAsia" w:ascii="宋体" w:hAnsi="宋体" w:cs="宋体"/>
          <w:sz w:val="24"/>
        </w:rPr>
      </w:pPr>
    </w:p>
    <w:p w14:paraId="04152641">
      <w:pPr>
        <w:spacing w:line="360" w:lineRule="auto"/>
        <w:ind w:right="560"/>
        <w:jc w:val="both"/>
        <w:rPr>
          <w:rFonts w:hint="eastAsia" w:ascii="宋体" w:hAnsi="宋体" w:cs="宋体"/>
          <w:sz w:val="24"/>
        </w:rPr>
      </w:pPr>
    </w:p>
    <w:p w14:paraId="5D40BBD0">
      <w:pPr>
        <w:spacing w:line="360" w:lineRule="auto"/>
        <w:ind w:right="560"/>
        <w:jc w:val="both"/>
        <w:rPr>
          <w:rFonts w:hint="eastAsia" w:ascii="宋体" w:hAnsi="宋体" w:cs="宋体"/>
          <w:sz w:val="24"/>
        </w:rPr>
      </w:pPr>
    </w:p>
    <w:p w14:paraId="229143AA">
      <w:pPr>
        <w:spacing w:line="360" w:lineRule="auto"/>
        <w:ind w:right="560"/>
        <w:jc w:val="both"/>
        <w:rPr>
          <w:rFonts w:hint="eastAsia" w:ascii="宋体" w:hAnsi="宋体" w:cs="宋体"/>
          <w:sz w:val="24"/>
        </w:rPr>
      </w:pPr>
    </w:p>
    <w:p w14:paraId="5AD5152E">
      <w:pPr>
        <w:spacing w:line="360" w:lineRule="auto"/>
        <w:ind w:right="560"/>
        <w:jc w:val="both"/>
        <w:rPr>
          <w:rFonts w:hint="eastAsia" w:ascii="宋体" w:hAnsi="宋体" w:cs="宋体"/>
          <w:sz w:val="24"/>
        </w:rPr>
      </w:pPr>
    </w:p>
    <w:p w14:paraId="0039EAD2">
      <w:pPr>
        <w:spacing w:line="360" w:lineRule="auto"/>
        <w:ind w:right="560"/>
        <w:jc w:val="both"/>
        <w:rPr>
          <w:rFonts w:hint="eastAsia" w:ascii="宋体" w:hAnsi="宋体" w:cs="宋体"/>
          <w:sz w:val="24"/>
        </w:rPr>
      </w:pPr>
    </w:p>
    <w:p w14:paraId="28BBFAF3">
      <w:pPr>
        <w:spacing w:line="360" w:lineRule="auto"/>
        <w:ind w:right="560"/>
        <w:jc w:val="both"/>
        <w:rPr>
          <w:rFonts w:hint="eastAsia" w:ascii="宋体" w:hAnsi="宋体" w:cs="宋体"/>
          <w:sz w:val="24"/>
        </w:rPr>
      </w:pPr>
    </w:p>
    <w:p w14:paraId="596D1A77">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val="en-US" w:eastAsia="zh-CN"/>
        </w:rPr>
        <w:t>合同模板（具体格式以实际签订为准）</w:t>
      </w:r>
    </w:p>
    <w:p w14:paraId="57D329EC">
      <w:pPr>
        <w:jc w:val="center"/>
        <w:rPr>
          <w:b/>
          <w:bCs/>
          <w:sz w:val="44"/>
          <w:szCs w:val="44"/>
        </w:rPr>
      </w:pPr>
      <w:r>
        <w:rPr>
          <w:rFonts w:hint="eastAsia"/>
          <w:b/>
          <w:bCs/>
          <w:sz w:val="44"/>
          <w:szCs w:val="44"/>
        </w:rPr>
        <w:t>产品买卖合同</w:t>
      </w:r>
    </w:p>
    <w:p w14:paraId="7E64E1E5">
      <w:pPr>
        <w:jc w:val="left"/>
        <w:rPr>
          <w:rFonts w:ascii="仿宋_GB2312" w:hAnsi="仿宋_GB2312" w:eastAsia="仿宋_GB2312" w:cs="仿宋_GB2312"/>
          <w:sz w:val="24"/>
        </w:rPr>
      </w:pPr>
    </w:p>
    <w:p w14:paraId="64502116">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 xml:space="preserve">卖方（全称）：                                </w:t>
      </w:r>
    </w:p>
    <w:p w14:paraId="63E37D74">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买方（全称）：</w:t>
      </w:r>
    </w:p>
    <w:p w14:paraId="05254F9A">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 xml:space="preserve">签订地点：连云港市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 xml:space="preserve">        签订时间：202</w:t>
      </w:r>
      <w:r>
        <w:rPr>
          <w:rFonts w:hint="eastAsia" w:ascii="仿宋_GB2312" w:hAnsi="仿宋_GB2312" w:eastAsia="仿宋_GB2312" w:cs="仿宋_GB2312"/>
          <w:sz w:val="24"/>
          <w:lang w:val="en-US" w:eastAsia="zh-CN"/>
        </w:rPr>
        <w:t xml:space="preserve">5 </w:t>
      </w:r>
      <w:r>
        <w:rPr>
          <w:rFonts w:hint="eastAsia" w:ascii="仿宋_GB2312" w:hAnsi="仿宋_GB2312" w:eastAsia="仿宋_GB2312" w:cs="仿宋_GB2312"/>
          <w:sz w:val="24"/>
          <w:lang w:eastAsia="zh-CN"/>
        </w:rPr>
        <w:t>年    月   日</w:t>
      </w:r>
    </w:p>
    <w:p w14:paraId="5C0E75D9">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工程名称：                                 合同编号：</w:t>
      </w:r>
    </w:p>
    <w:p w14:paraId="750C76F8">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第一条　产品名称、品牌商标、规格型号、数量、金额</w:t>
      </w:r>
    </w:p>
    <w:tbl>
      <w:tblPr>
        <w:tblStyle w:val="7"/>
        <w:tblW w:w="9199"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09"/>
        <w:gridCol w:w="2574"/>
        <w:gridCol w:w="709"/>
        <w:gridCol w:w="949"/>
        <w:gridCol w:w="1004"/>
        <w:gridCol w:w="1146"/>
        <w:gridCol w:w="771"/>
      </w:tblGrid>
      <w:tr w14:paraId="6056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37" w:type="dxa"/>
            <w:vAlign w:val="center"/>
          </w:tcPr>
          <w:p w14:paraId="56C44C14">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序号</w:t>
            </w:r>
          </w:p>
        </w:tc>
        <w:tc>
          <w:tcPr>
            <w:tcW w:w="1309" w:type="dxa"/>
            <w:vAlign w:val="center"/>
          </w:tcPr>
          <w:p w14:paraId="2E102F05">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货物名称</w:t>
            </w:r>
          </w:p>
        </w:tc>
        <w:tc>
          <w:tcPr>
            <w:tcW w:w="2574" w:type="dxa"/>
            <w:vAlign w:val="center"/>
          </w:tcPr>
          <w:p w14:paraId="09C57610">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型号规格</w:t>
            </w:r>
          </w:p>
        </w:tc>
        <w:tc>
          <w:tcPr>
            <w:tcW w:w="709" w:type="dxa"/>
            <w:vAlign w:val="center"/>
          </w:tcPr>
          <w:p w14:paraId="48A0A58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单位</w:t>
            </w:r>
          </w:p>
        </w:tc>
        <w:tc>
          <w:tcPr>
            <w:tcW w:w="949" w:type="dxa"/>
            <w:vAlign w:val="center"/>
          </w:tcPr>
          <w:p w14:paraId="39532BF9">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数量</w:t>
            </w:r>
          </w:p>
        </w:tc>
        <w:tc>
          <w:tcPr>
            <w:tcW w:w="1004" w:type="dxa"/>
            <w:vAlign w:val="center"/>
          </w:tcPr>
          <w:p w14:paraId="54156F5A">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单价（元）</w:t>
            </w:r>
          </w:p>
        </w:tc>
        <w:tc>
          <w:tcPr>
            <w:tcW w:w="1146" w:type="dxa"/>
            <w:vAlign w:val="center"/>
          </w:tcPr>
          <w:p w14:paraId="209ECFB4">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总价（元）</w:t>
            </w:r>
          </w:p>
        </w:tc>
        <w:tc>
          <w:tcPr>
            <w:tcW w:w="771" w:type="dxa"/>
            <w:vAlign w:val="center"/>
          </w:tcPr>
          <w:p w14:paraId="307ED0EF">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备注</w:t>
            </w:r>
          </w:p>
        </w:tc>
      </w:tr>
      <w:tr w14:paraId="253D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37" w:type="dxa"/>
            <w:vAlign w:val="center"/>
          </w:tcPr>
          <w:p w14:paraId="358C2FF0">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c>
          <w:tcPr>
            <w:tcW w:w="1309" w:type="dxa"/>
            <w:vAlign w:val="center"/>
          </w:tcPr>
          <w:p w14:paraId="6DD86B6E">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镀锌钢管</w:t>
            </w:r>
          </w:p>
        </w:tc>
        <w:tc>
          <w:tcPr>
            <w:tcW w:w="2574" w:type="dxa"/>
            <w:vAlign w:val="center"/>
          </w:tcPr>
          <w:p w14:paraId="1CEE8BF3">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Φ200*6mm</w:t>
            </w:r>
          </w:p>
        </w:tc>
        <w:tc>
          <w:tcPr>
            <w:tcW w:w="709" w:type="dxa"/>
            <w:vAlign w:val="center"/>
          </w:tcPr>
          <w:p w14:paraId="2A4E7698">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吨</w:t>
            </w:r>
          </w:p>
        </w:tc>
        <w:tc>
          <w:tcPr>
            <w:tcW w:w="949" w:type="dxa"/>
            <w:vAlign w:val="center"/>
          </w:tcPr>
          <w:p w14:paraId="5DAC4DB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132</w:t>
            </w:r>
          </w:p>
        </w:tc>
        <w:tc>
          <w:tcPr>
            <w:tcW w:w="1004" w:type="dxa"/>
            <w:vAlign w:val="center"/>
          </w:tcPr>
          <w:p w14:paraId="19E708C3">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p>
        </w:tc>
        <w:tc>
          <w:tcPr>
            <w:tcW w:w="1146" w:type="dxa"/>
            <w:vAlign w:val="center"/>
          </w:tcPr>
          <w:p w14:paraId="210C4636">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p>
        </w:tc>
        <w:tc>
          <w:tcPr>
            <w:tcW w:w="771" w:type="dxa"/>
            <w:vAlign w:val="center"/>
          </w:tcPr>
          <w:p w14:paraId="6EF6EAD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仿宋_GB2312" w:hAnsi="仿宋_GB2312" w:eastAsia="仿宋_GB2312" w:cs="仿宋_GB2312"/>
                <w:sz w:val="24"/>
                <w:lang w:val="en-US" w:eastAsia="zh-CN"/>
              </w:rPr>
            </w:pPr>
          </w:p>
        </w:tc>
      </w:tr>
      <w:tr w14:paraId="74DA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37" w:type="dxa"/>
            <w:vAlign w:val="center"/>
          </w:tcPr>
          <w:p w14:paraId="29540BD1">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1309" w:type="dxa"/>
            <w:vAlign w:val="center"/>
          </w:tcPr>
          <w:p w14:paraId="2C933319">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镀锌钢管</w:t>
            </w:r>
          </w:p>
        </w:tc>
        <w:tc>
          <w:tcPr>
            <w:tcW w:w="2574" w:type="dxa"/>
            <w:vAlign w:val="center"/>
          </w:tcPr>
          <w:p w14:paraId="1D8CE0C3">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Φ50*3.75mm</w:t>
            </w:r>
          </w:p>
        </w:tc>
        <w:tc>
          <w:tcPr>
            <w:tcW w:w="709" w:type="dxa"/>
            <w:vAlign w:val="center"/>
          </w:tcPr>
          <w:p w14:paraId="2B7FFE20">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吨</w:t>
            </w:r>
          </w:p>
        </w:tc>
        <w:tc>
          <w:tcPr>
            <w:tcW w:w="949" w:type="dxa"/>
            <w:vAlign w:val="center"/>
          </w:tcPr>
          <w:p w14:paraId="611BF35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23</w:t>
            </w:r>
          </w:p>
        </w:tc>
        <w:tc>
          <w:tcPr>
            <w:tcW w:w="1004" w:type="dxa"/>
            <w:vAlign w:val="center"/>
          </w:tcPr>
          <w:p w14:paraId="07A41BBD">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p>
        </w:tc>
        <w:tc>
          <w:tcPr>
            <w:tcW w:w="1146" w:type="dxa"/>
            <w:vAlign w:val="center"/>
          </w:tcPr>
          <w:p w14:paraId="7027FE56">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p>
        </w:tc>
        <w:tc>
          <w:tcPr>
            <w:tcW w:w="771" w:type="dxa"/>
            <w:vAlign w:val="center"/>
          </w:tcPr>
          <w:p w14:paraId="49576E19">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仿宋_GB2312" w:hAnsi="仿宋_GB2312" w:eastAsia="仿宋_GB2312" w:cs="仿宋_GB2312"/>
                <w:sz w:val="24"/>
                <w:lang w:val="en-US" w:eastAsia="zh-CN"/>
              </w:rPr>
            </w:pPr>
          </w:p>
        </w:tc>
      </w:tr>
      <w:tr w14:paraId="4936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82" w:type="dxa"/>
            <w:gridSpan w:val="6"/>
            <w:vAlign w:val="center"/>
          </w:tcPr>
          <w:p w14:paraId="6CCFF27A">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合计</w:t>
            </w:r>
          </w:p>
        </w:tc>
        <w:tc>
          <w:tcPr>
            <w:tcW w:w="1146" w:type="dxa"/>
            <w:vAlign w:val="center"/>
          </w:tcPr>
          <w:p w14:paraId="064A7BF8">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hint="eastAsia" w:ascii="仿宋_GB2312" w:hAnsi="仿宋_GB2312" w:eastAsia="仿宋_GB2312" w:cs="仿宋_GB2312"/>
                <w:sz w:val="24"/>
                <w:lang w:eastAsia="zh-CN"/>
              </w:rPr>
            </w:pPr>
          </w:p>
        </w:tc>
        <w:tc>
          <w:tcPr>
            <w:tcW w:w="771" w:type="dxa"/>
            <w:vAlign w:val="center"/>
          </w:tcPr>
          <w:p w14:paraId="669E68F5">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hint="eastAsia" w:ascii="仿宋_GB2312" w:hAnsi="仿宋_GB2312" w:eastAsia="仿宋_GB2312" w:cs="仿宋_GB2312"/>
                <w:sz w:val="24"/>
                <w:lang w:eastAsia="zh-CN"/>
              </w:rPr>
            </w:pPr>
          </w:p>
        </w:tc>
      </w:tr>
      <w:tr w14:paraId="56EF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199" w:type="dxa"/>
            <w:gridSpan w:val="8"/>
            <w:vAlign w:val="center"/>
          </w:tcPr>
          <w:p w14:paraId="7A539BE7">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大写：（人民币）</w:t>
            </w:r>
            <w:bookmarkStart w:id="5" w:name="_GoBack"/>
            <w:bookmarkEnd w:id="5"/>
          </w:p>
        </w:tc>
      </w:tr>
      <w:tr w14:paraId="1FD6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199" w:type="dxa"/>
            <w:gridSpan w:val="8"/>
            <w:vAlign w:val="center"/>
          </w:tcPr>
          <w:p w14:paraId="3A986B9A">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备注：①投标单位根据本清单并结合图纸进行报价；②本次采购税率统一按照13%报价，③报价含材料（设备）费用、包装费、运输费、保险费、技术指导服务费、税金等（到工地价格），结算时根据中标单位开具的发票调整税率。</w:t>
            </w:r>
          </w:p>
        </w:tc>
      </w:tr>
    </w:tbl>
    <w:p w14:paraId="42B4CF4D">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此合同为固定单价合同，按实际安装供货数量进行调整，结算以现场实际测量数量依据，按中标的单价不变。</w:t>
      </w:r>
    </w:p>
    <w:p w14:paraId="25C50043">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合同总价包括货物、随机必备品、随机配件、随机工具、包装费、技术资料（含软件资料）和技术配合指导培训、技术服务和培训费、运输及保险费用、增值税（13%）及其他相关税费等费用（如果国家政策有变动，依据国家最新政策变动）。</w:t>
      </w:r>
    </w:p>
    <w:p w14:paraId="42E54EE2">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第二条　质量要求、卖方对质量负责的条件：</w:t>
      </w:r>
      <w:r>
        <w:rPr>
          <w:rFonts w:hint="eastAsia" w:ascii="仿宋_GB2312" w:hAnsi="仿宋_GB2312" w:eastAsia="仿宋_GB2312" w:cs="仿宋_GB2312"/>
          <w:sz w:val="24"/>
        </w:rPr>
        <w:t>根据国家关于标的物质量的最新标准和招标文件作为负责条件，期限</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年。如国家法律法规对标的物的保质期限有明确规定的，从其规定，标的物质量负责期限为</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年的条款不再适用。</w:t>
      </w:r>
    </w:p>
    <w:p w14:paraId="4288E21C">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第三条　产品交付期限：</w:t>
      </w:r>
      <w:r>
        <w:rPr>
          <w:rFonts w:hint="eastAsia" w:ascii="仿宋_GB2312" w:hAnsi="仿宋_GB2312" w:eastAsia="仿宋_GB2312" w:cs="仿宋_GB2312"/>
          <w:sz w:val="24"/>
        </w:rPr>
        <w:t>双方以书面、数据电文等形式有</w:t>
      </w:r>
      <w:r>
        <w:rPr>
          <w:rFonts w:hint="eastAsia" w:ascii="宋体" w:hAnsi="宋体" w:eastAsia="宋体" w:cs="宋体"/>
          <w:bCs/>
          <w:snapToGrid w:val="0"/>
          <w:kern w:val="0"/>
          <w:sz w:val="24"/>
          <w:szCs w:val="24"/>
          <w:lang w:eastAsia="zh-CN"/>
        </w:rPr>
        <w:t>约定</w:t>
      </w:r>
      <w:r>
        <w:rPr>
          <w:rFonts w:hint="eastAsia" w:ascii="仿宋_GB2312" w:hAnsi="仿宋_GB2312" w:eastAsia="仿宋_GB2312" w:cs="仿宋_GB2312"/>
          <w:sz w:val="24"/>
        </w:rPr>
        <w:t>的，依据约定；没有约定的，合同签订后20天内。</w:t>
      </w:r>
    </w:p>
    <w:p w14:paraId="21C523E2">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第四条　运输方式及到达站（港）和费用负责：</w:t>
      </w:r>
      <w:r>
        <w:rPr>
          <w:rFonts w:hint="eastAsia" w:ascii="仿宋_GB2312" w:hAnsi="仿宋_GB2312" w:eastAsia="仿宋_GB2312" w:cs="仿宋_GB2312"/>
          <w:sz w:val="24"/>
        </w:rPr>
        <w:t xml:space="preserve">汽运，运费及货物运输风险由卖方承担。 </w:t>
      </w:r>
    </w:p>
    <w:p w14:paraId="5533D49E">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第五条　合理损耗标准及计算方法：</w:t>
      </w:r>
      <w:r>
        <w:rPr>
          <w:rFonts w:hint="eastAsia" w:ascii="仿宋_GB2312" w:hAnsi="仿宋_GB2312" w:eastAsia="仿宋_GB2312" w:cs="仿宋_GB2312"/>
          <w:sz w:val="24"/>
        </w:rPr>
        <w:t>无。</w:t>
      </w:r>
    </w:p>
    <w:p w14:paraId="5D4D8B42">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第六条　包装标准、包装物的供应与回收：</w:t>
      </w:r>
      <w:r>
        <w:rPr>
          <w:rFonts w:hint="eastAsia" w:ascii="仿宋_GB2312" w:hAnsi="仿宋_GB2312" w:eastAsia="仿宋_GB2312" w:cs="仿宋_GB2312"/>
          <w:sz w:val="24"/>
        </w:rPr>
        <w:t>货物的包装符合国家或行业标准，没有国家或行业标准的，应符合货物运输和保存的一般标准；包装物需要回收的，卖方自行回收。</w:t>
      </w:r>
    </w:p>
    <w:p w14:paraId="194F32AD">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b/>
          <w:bCs/>
          <w:sz w:val="24"/>
          <w:highlight w:val="none"/>
        </w:rPr>
        <w:t>第七条　随机的必备品、配件：</w:t>
      </w:r>
      <w:r>
        <w:rPr>
          <w:rFonts w:hint="eastAsia" w:ascii="仿宋_GB2312" w:hAnsi="仿宋_GB2312" w:eastAsia="仿宋_GB2312" w:cs="仿宋_GB2312"/>
          <w:sz w:val="24"/>
          <w:highlight w:val="none"/>
        </w:rPr>
        <w:t>卖方必须提供设备说明书、安装、维护和操作文件、产品合格证、型式试验报告、3C报告、出厂检测报告及附件齐全。</w:t>
      </w:r>
    </w:p>
    <w:p w14:paraId="1B6EE4D1">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第八条　货物验收</w:t>
      </w:r>
    </w:p>
    <w:p w14:paraId="3A173F1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卖方保证其供应的产品质量符合国家行业标准和双方约定的标准，货物是全新的。</w:t>
      </w:r>
    </w:p>
    <w:p w14:paraId="38ACBCBE">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val="0"/>
          <w:bCs w:val="0"/>
          <w:sz w:val="24"/>
          <w:highlight w:val="yellow"/>
          <w:lang w:val="en-US" w:eastAsia="zh-CN"/>
        </w:rPr>
      </w:pPr>
      <w:r>
        <w:rPr>
          <w:rFonts w:hint="eastAsia" w:ascii="仿宋_GB2312" w:hAnsi="仿宋_GB2312" w:eastAsia="仿宋_GB2312" w:cs="仿宋_GB2312"/>
          <w:b/>
          <w:bCs/>
          <w:sz w:val="24"/>
          <w:lang w:eastAsia="zh-CN"/>
        </w:rPr>
        <w:t>第九条</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val="0"/>
          <w:bCs w:val="0"/>
          <w:sz w:val="24"/>
          <w:highlight w:val="yellow"/>
          <w:lang w:val="en-US" w:eastAsia="zh-CN"/>
        </w:rPr>
        <w:t xml:space="preserve">电汇，合同签订后，乙方若出具银行开具合同总价20%的履约保函，甲方在收到保函7个工作日内向卖方支付合同总价20％的预付款，发货前，乙方提供第一批供货实际发生量的全额增值税发票（税率13%），甲方收到发票后支付第一批供货实际发生量的金额的95%。第二批次发货前，乙方提供第二批供货实际发生量的全额增值税发票（税率13%），甲方收到发票后支付第二批供货实际发生量的金额的95%。剩余5%货款在最后一批发货满一年后的一周内支付或者卖方在最后一批发货后向买方开具二年期银行质量保函，买方收到保函后一周内向卖方支付，以先到为准。 </w:t>
      </w:r>
    </w:p>
    <w:p w14:paraId="08F97BE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b w:val="0"/>
          <w:bCs w:val="0"/>
          <w:sz w:val="24"/>
          <w:highlight w:val="yellow"/>
          <w:lang w:val="en-US" w:eastAsia="zh-CN"/>
        </w:rPr>
      </w:pPr>
      <w:r>
        <w:rPr>
          <w:rFonts w:hint="eastAsia" w:ascii="仿宋_GB2312" w:hAnsi="仿宋_GB2312" w:eastAsia="仿宋_GB2312" w:cs="仿宋_GB2312"/>
          <w:b w:val="0"/>
          <w:bCs w:val="0"/>
          <w:sz w:val="24"/>
          <w:highlight w:val="yellow"/>
          <w:lang w:val="en-US" w:eastAsia="zh-CN"/>
        </w:rPr>
        <w:t>按实结算，最终结算数量以甲方要求供货的实际供货验收数量为准，上下增减均不超过10%。单价执行投标时的综合单价；即结算价为:实际工程量乘以投标时综合单价。</w:t>
      </w:r>
    </w:p>
    <w:p w14:paraId="5F219382">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第十条　标的物所有权自交货验收合格时起转移，但买方未履行支付价款义务的，标的物属于卖方所有。</w:t>
      </w:r>
    </w:p>
    <w:p w14:paraId="30C1EC07">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第十一条  质量保证</w:t>
      </w:r>
    </w:p>
    <w:p w14:paraId="04A53D59">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11.1、如在保证期内发现货物存在影响正常使用的严重缺陷，则保证期将自该缺陷消除之日起开始计算。</w:t>
      </w:r>
    </w:p>
    <w:p w14:paraId="2B9817BF">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11.2、如买方要求更换有缺陷的货物，新更换货物的保证期应重新计算。</w:t>
      </w:r>
    </w:p>
    <w:p w14:paraId="5256E392">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11.3、保证期的届满不能视为卖方对货物中存在的潜在缺陷所负责任的解除，潜在缺陷指货物的隐患在正常情况下不能在保证期内被发现，卖方对纠正潜在缺陷应负责任。</w:t>
      </w:r>
    </w:p>
    <w:p w14:paraId="5D4C98B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11.4、对货物修理部位的质量保证期应延长2年。</w:t>
      </w:r>
    </w:p>
    <w:p w14:paraId="4EEC837D">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11.5、在质量保证期过后，如买方需要，卖方应以最优惠的价格向买方提供维修合同货物必要的部件。</w:t>
      </w:r>
    </w:p>
    <w:p w14:paraId="66D0B224">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第十二条  违约责任</w:t>
      </w:r>
    </w:p>
    <w:p w14:paraId="7DF4A192">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12.1、卖方逾期交货，除不可抗力的因素外，卖方应向买方支付延期交货违约金，按每日合同金额的2%支付违约金，但违约金总数不超过合同金额的</w:t>
      </w:r>
      <w:r>
        <w:rPr>
          <w:rFonts w:hint="eastAsia" w:ascii="仿宋_GB2312" w:hAnsi="仿宋_GB2312" w:eastAsia="仿宋_GB2312" w:cs="仿宋_GB2312"/>
          <w:sz w:val="24"/>
          <w:lang w:val="en-US" w:eastAsia="zh-CN"/>
        </w:rPr>
        <w:t>30</w:t>
      </w:r>
      <w:r>
        <w:rPr>
          <w:rFonts w:hint="eastAsia" w:ascii="仿宋_GB2312" w:hAnsi="仿宋_GB2312" w:eastAsia="仿宋_GB2312" w:cs="仿宋_GB2312"/>
          <w:sz w:val="24"/>
        </w:rPr>
        <w:t>%，逾期超过10天，买方有权解除合同.如果买方因货物逾期交货而造成的实际损失大于卖方支付的违约金时，卖方支付的违约金调整为因货物逾期给买方造成的实际损失金额。</w:t>
      </w:r>
    </w:p>
    <w:p w14:paraId="7963EDD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12.2、卖方将货物运至现场后，由于卖方原因造成的质量问题而导致货物不能按期投付使用，每影响一日，卖方应按合同价格的2%向买方支付违约金。逾期超过10天，买方有权解除合同。但买方因货物逾期投付使用造成的实际损失大于卖方支付的违约金时，卖方支付的违约金调整为因货物逾期给买方造成的实际损失金额。</w:t>
      </w:r>
    </w:p>
    <w:p w14:paraId="06D92F13">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12.3、本合同执行期间，如果卖方提供的货物有缺陷，卖方应立即无偿换货或修理。如需换货，卖方负担由此产生的到安装现场换货的一切费用。在紧急情况下，卖方应立即换货或修理；卖方可委托买方认可的第三方在现场进行损坏货物的修理，其质量和所有费用由卖方负责。同时，若买方由此遭受损失，买方有权向供方提出索赔，索赔范围为买方因货物的缺陷受到的损失。</w:t>
      </w:r>
    </w:p>
    <w:p w14:paraId="03C0523B">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12.4、由于货物延期交付、货物质量问题、延期付款等原因，卖方或买方接到对方的索赔通知书，如有异议在7天内提出，否则索赔既告成立。</w:t>
      </w:r>
    </w:p>
    <w:p w14:paraId="2F6C48EB">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12.5、如果卖方有违反或拒绝执行本合同规定的行为时，买方有权暂停履行本合同的一部分或全部。买方行使暂停权利后，买方有权暂缓支付到期应向卖方支付的价款，对于这种暂停，买方将不出具变更通知书，由此而发生的一切费用、损失和索赔将由卖方承担。</w:t>
      </w:r>
    </w:p>
    <w:p w14:paraId="1F1C991D">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第十三条  由于买方的原因造成的货物损坏，卖方有义务尽快提供所需更换的部位，如果买方要求的是紧急部件，卖方应安排最快的方式运输。</w:t>
      </w:r>
    </w:p>
    <w:p w14:paraId="24A7911A">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第十四条  合同的解除</w:t>
      </w:r>
    </w:p>
    <w:p w14:paraId="46E7CFDB">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14.1、卖方未能履行合同项下的任何其他义务，给买方造成重大损失的，买方可向卖方发出书面通知，解除全部或部分合同。一旦买方解除部分或全部合同，卖方应赔偿其违约行为给买方造成的实际损失且需承担本合同一年总标的的30%违约金以及产生的诉讼费，律师费，执行费等，同时卖方应继续履行合同未终止部分。</w:t>
      </w:r>
    </w:p>
    <w:p w14:paraId="656547F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14.2、当供需双方任何一方破产或已失去履约能力时，另一方可在2个月内以书面方式通知对方解除合同。但该行为并不损害或影响双方已采取或将采取补救措施的任何权利。</w:t>
      </w:r>
    </w:p>
    <w:p w14:paraId="136B39A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14.3、如因不可抗力使交货时间影响了工程进度，买方有权在1个月内解除合同，已付给卖方的费用卖方应在合同解除后5个工作日内无条件退回买方。</w:t>
      </w:r>
    </w:p>
    <w:p w14:paraId="2ACA33A7">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第十五条  合同争议的解决方式：</w:t>
      </w:r>
      <w:r>
        <w:rPr>
          <w:rFonts w:hint="eastAsia" w:ascii="仿宋_GB2312" w:hAnsi="仿宋_GB2312" w:eastAsia="仿宋_GB2312" w:cs="仿宋_GB2312"/>
          <w:sz w:val="24"/>
        </w:rPr>
        <w:t>本合同在履行过程中发生的争议，可向合同签订地人民法院提起诉讼,诉讼费用（包括但不限于诉讼费、律师费、鉴定费、差旅费）由败诉方承担。</w:t>
      </w:r>
    </w:p>
    <w:p w14:paraId="3FF7624A">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第十六条  本合同一式6份，双方各执3份，由供需双方法定代表人或授权代理人签字</w:t>
      </w:r>
      <w:r>
        <w:rPr>
          <w:rFonts w:hint="eastAsia" w:ascii="仿宋_GB2312" w:hAnsi="仿宋_GB2312" w:eastAsia="仿宋_GB2312" w:cs="仿宋_GB2312"/>
          <w:b/>
          <w:bCs/>
          <w:sz w:val="24"/>
          <w:lang w:val="en-US" w:eastAsia="zh-CN"/>
        </w:rPr>
        <w:t>并</w:t>
      </w:r>
      <w:r>
        <w:rPr>
          <w:rFonts w:hint="eastAsia" w:ascii="仿宋_GB2312" w:hAnsi="仿宋_GB2312" w:eastAsia="仿宋_GB2312" w:cs="仿宋_GB2312"/>
          <w:b/>
          <w:bCs/>
          <w:sz w:val="24"/>
        </w:rPr>
        <w:t>盖章后生效</w:t>
      </w:r>
      <w:r>
        <w:rPr>
          <w:rFonts w:hint="eastAsia" w:ascii="仿宋_GB2312" w:hAnsi="仿宋_GB2312" w:eastAsia="仿宋_GB2312" w:cs="仿宋_GB2312"/>
          <w:b/>
          <w:bCs/>
          <w:sz w:val="24"/>
          <w:lang w:eastAsia="zh-CN"/>
        </w:rPr>
        <w:t>，每份具有同等法律效力</w:t>
      </w:r>
      <w:r>
        <w:rPr>
          <w:rFonts w:hint="eastAsia" w:ascii="仿宋_GB2312" w:hAnsi="仿宋_GB2312" w:eastAsia="仿宋_GB2312" w:cs="仿宋_GB2312"/>
          <w:b/>
          <w:bCs/>
          <w:sz w:val="24"/>
        </w:rPr>
        <w:t>。</w:t>
      </w:r>
    </w:p>
    <w:p w14:paraId="3D44CAB0">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第十七条  其它约定事项:</w:t>
      </w:r>
    </w:p>
    <w:p w14:paraId="0FAA9C2F">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17.1、本合同未约定的事项，由双方另行签订补充协议，补充协议与本合同书具有同等法律效力。</w:t>
      </w:r>
    </w:p>
    <w:p w14:paraId="00148EF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17.2、卖方应具有合法经营的资格，买方要求时要提供其合法经营的证明文件，证明文件与本合同具有同等法律效力。因卖方不具有合法经营资格给买方造成的损失，由卖方负责</w:t>
      </w:r>
      <w:r>
        <w:rPr>
          <w:rFonts w:hint="eastAsia" w:ascii="仿宋_GB2312" w:hAnsi="仿宋_GB2312" w:eastAsia="仿宋_GB2312" w:cs="仿宋_GB2312"/>
          <w:sz w:val="24"/>
          <w:lang w:eastAsia="zh-CN"/>
        </w:rPr>
        <w:t>。</w:t>
      </w:r>
    </w:p>
    <w:p w14:paraId="24C6EC0B">
      <w:pPr>
        <w:jc w:val="left"/>
        <w:rPr>
          <w:rFonts w:ascii="仿宋_GB2312" w:hAnsi="仿宋_GB2312" w:eastAsia="仿宋_GB2312" w:cs="仿宋_GB2312"/>
          <w:sz w:val="24"/>
        </w:rPr>
      </w:pPr>
    </w:p>
    <w:tbl>
      <w:tblPr>
        <w:tblStyle w:val="7"/>
        <w:tblW w:w="9363"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5013"/>
      </w:tblGrid>
      <w:tr w14:paraId="1A2F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1" w:hRule="atLeast"/>
        </w:trPr>
        <w:tc>
          <w:tcPr>
            <w:tcW w:w="4350" w:type="dxa"/>
          </w:tcPr>
          <w:p w14:paraId="7170979F">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卖方</w:t>
            </w:r>
          </w:p>
          <w:p w14:paraId="3947D369">
            <w:p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单位名称：</w:t>
            </w:r>
            <w:r>
              <w:rPr>
                <w:rFonts w:hint="eastAsia" w:ascii="仿宋_GB2312" w:hAnsi="仿宋_GB2312" w:eastAsia="仿宋_GB2312" w:cs="仿宋_GB2312"/>
                <w:sz w:val="24"/>
                <w:lang w:val="en-US" w:eastAsia="zh-CN"/>
              </w:rPr>
              <w:t xml:space="preserve"> </w:t>
            </w:r>
          </w:p>
          <w:p w14:paraId="0030A445">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单位地址：</w:t>
            </w:r>
            <w:r>
              <w:rPr>
                <w:rFonts w:hint="eastAsia" w:ascii="仿宋_GB2312" w:hAnsi="仿宋_GB2312" w:eastAsia="仿宋_GB2312" w:cs="仿宋_GB2312"/>
                <w:sz w:val="24"/>
                <w:lang w:val="en-US" w:eastAsia="zh-CN"/>
              </w:rPr>
              <w:t xml:space="preserve"> </w:t>
            </w:r>
          </w:p>
          <w:p w14:paraId="0FB5D027">
            <w:pPr>
              <w:jc w:val="left"/>
              <w:rPr>
                <w:rFonts w:ascii="仿宋_GB2312" w:hAnsi="仿宋_GB2312" w:eastAsia="仿宋_GB2312" w:cs="仿宋_GB2312"/>
                <w:sz w:val="24"/>
              </w:rPr>
            </w:pPr>
            <w:r>
              <w:rPr>
                <w:rFonts w:hint="eastAsia" w:ascii="仿宋_GB2312" w:hAnsi="仿宋_GB2312" w:eastAsia="仿宋_GB2312" w:cs="仿宋_GB2312"/>
                <w:sz w:val="24"/>
              </w:rPr>
              <w:t>法定代表人：</w:t>
            </w:r>
          </w:p>
          <w:p w14:paraId="02959AF9">
            <w:pPr>
              <w:jc w:val="left"/>
              <w:rPr>
                <w:rFonts w:ascii="仿宋_GB2312" w:hAnsi="仿宋_GB2312" w:eastAsia="仿宋_GB2312" w:cs="仿宋_GB2312"/>
                <w:sz w:val="24"/>
              </w:rPr>
            </w:pPr>
            <w:r>
              <w:rPr>
                <w:rFonts w:hint="eastAsia" w:ascii="仿宋_GB2312" w:hAnsi="仿宋_GB2312" w:eastAsia="仿宋_GB2312" w:cs="仿宋_GB2312"/>
                <w:sz w:val="24"/>
              </w:rPr>
              <w:t>授权代理人：</w:t>
            </w:r>
          </w:p>
          <w:p w14:paraId="63F2EE6D">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电话：</w:t>
            </w:r>
            <w:r>
              <w:rPr>
                <w:rFonts w:hint="eastAsia" w:ascii="仿宋_GB2312" w:hAnsi="仿宋_GB2312" w:eastAsia="仿宋_GB2312" w:cs="仿宋_GB2312"/>
                <w:sz w:val="24"/>
                <w:lang w:val="en-US" w:eastAsia="zh-CN"/>
              </w:rPr>
              <w:t xml:space="preserve"> </w:t>
            </w:r>
          </w:p>
          <w:p w14:paraId="08ED2EDF">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传真：</w:t>
            </w:r>
            <w:r>
              <w:rPr>
                <w:rFonts w:hint="eastAsia" w:ascii="仿宋_GB2312" w:hAnsi="仿宋_GB2312" w:eastAsia="仿宋_GB2312" w:cs="仿宋_GB2312"/>
                <w:sz w:val="24"/>
                <w:lang w:val="en-US" w:eastAsia="zh-CN"/>
              </w:rPr>
              <w:t xml:space="preserve"> </w:t>
            </w:r>
          </w:p>
          <w:p w14:paraId="6288AAF5">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开户银行：</w:t>
            </w:r>
            <w:r>
              <w:rPr>
                <w:rFonts w:hint="eastAsia" w:ascii="仿宋_GB2312" w:hAnsi="仿宋_GB2312" w:eastAsia="仿宋_GB2312" w:cs="仿宋_GB2312"/>
                <w:sz w:val="24"/>
                <w:lang w:val="en-US" w:eastAsia="zh-CN"/>
              </w:rPr>
              <w:t xml:space="preserve"> </w:t>
            </w:r>
          </w:p>
          <w:p w14:paraId="42441A22">
            <w:p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账号：</w:t>
            </w:r>
            <w:r>
              <w:rPr>
                <w:rFonts w:hint="eastAsia" w:ascii="仿宋_GB2312" w:hAnsi="仿宋_GB2312" w:eastAsia="仿宋_GB2312" w:cs="仿宋_GB2312"/>
                <w:sz w:val="24"/>
                <w:lang w:val="en-US" w:eastAsia="zh-CN"/>
              </w:rPr>
              <w:t xml:space="preserve"> </w:t>
            </w:r>
          </w:p>
          <w:p w14:paraId="6E23E828">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税号：</w:t>
            </w:r>
            <w:r>
              <w:rPr>
                <w:rFonts w:hint="eastAsia" w:ascii="仿宋_GB2312" w:hAnsi="仿宋_GB2312" w:eastAsia="仿宋_GB2312" w:cs="仿宋_GB2312"/>
                <w:sz w:val="24"/>
                <w:lang w:val="en-US" w:eastAsia="zh-CN"/>
              </w:rPr>
              <w:t xml:space="preserve"> </w:t>
            </w:r>
          </w:p>
          <w:p w14:paraId="642672D6">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邮政编号：</w:t>
            </w:r>
            <w:r>
              <w:rPr>
                <w:rFonts w:hint="eastAsia" w:ascii="仿宋_GB2312" w:hAnsi="仿宋_GB2312" w:eastAsia="仿宋_GB2312" w:cs="仿宋_GB2312"/>
                <w:sz w:val="24"/>
                <w:lang w:val="en-US" w:eastAsia="zh-CN"/>
              </w:rPr>
              <w:t xml:space="preserve"> </w:t>
            </w:r>
          </w:p>
        </w:tc>
        <w:tc>
          <w:tcPr>
            <w:tcW w:w="5013" w:type="dxa"/>
          </w:tcPr>
          <w:p w14:paraId="12DFE588">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买方</w:t>
            </w:r>
          </w:p>
          <w:p w14:paraId="4A0E83B2">
            <w:pPr>
              <w:jc w:val="left"/>
              <w:rPr>
                <w:rFonts w:ascii="仿宋_GB2312" w:hAnsi="仿宋_GB2312" w:eastAsia="仿宋_GB2312" w:cs="仿宋_GB2312"/>
                <w:sz w:val="24"/>
              </w:rPr>
            </w:pPr>
            <w:r>
              <w:rPr>
                <w:rFonts w:hint="eastAsia" w:ascii="仿宋_GB2312" w:hAnsi="仿宋_GB2312" w:eastAsia="仿宋_GB2312" w:cs="仿宋_GB2312"/>
                <w:sz w:val="24"/>
              </w:rPr>
              <w:t>单位名称：连云港市工业投资集团有限公司</w:t>
            </w:r>
          </w:p>
          <w:p w14:paraId="741B384A">
            <w:pPr>
              <w:jc w:val="left"/>
              <w:rPr>
                <w:rFonts w:ascii="仿宋_GB2312" w:hAnsi="仿宋_GB2312" w:eastAsia="仿宋_GB2312" w:cs="仿宋_GB2312"/>
                <w:sz w:val="24"/>
              </w:rPr>
            </w:pPr>
            <w:r>
              <w:rPr>
                <w:rFonts w:hint="eastAsia" w:ascii="仿宋_GB2312" w:hAnsi="仿宋_GB2312" w:eastAsia="仿宋_GB2312" w:cs="仿宋_GB2312"/>
                <w:sz w:val="24"/>
              </w:rPr>
              <w:t>单位地址：连云港市高新区花果山大道109号</w:t>
            </w:r>
          </w:p>
          <w:p w14:paraId="3B90CC65">
            <w:pPr>
              <w:jc w:val="left"/>
              <w:rPr>
                <w:rFonts w:ascii="仿宋_GB2312" w:hAnsi="仿宋_GB2312" w:eastAsia="仿宋_GB2312" w:cs="仿宋_GB2312"/>
                <w:sz w:val="24"/>
              </w:rPr>
            </w:pPr>
            <w:r>
              <w:rPr>
                <w:rFonts w:hint="eastAsia" w:ascii="仿宋_GB2312" w:hAnsi="仿宋_GB2312" w:eastAsia="仿宋_GB2312" w:cs="仿宋_GB2312"/>
                <w:sz w:val="24"/>
              </w:rPr>
              <w:t>法定代表人：</w:t>
            </w:r>
          </w:p>
          <w:p w14:paraId="550750F9">
            <w:pPr>
              <w:jc w:val="left"/>
              <w:rPr>
                <w:rFonts w:ascii="仿宋_GB2312" w:hAnsi="仿宋_GB2312" w:eastAsia="仿宋_GB2312" w:cs="仿宋_GB2312"/>
                <w:sz w:val="24"/>
              </w:rPr>
            </w:pPr>
            <w:r>
              <w:rPr>
                <w:rFonts w:hint="eastAsia" w:ascii="仿宋_GB2312" w:hAnsi="仿宋_GB2312" w:eastAsia="仿宋_GB2312" w:cs="仿宋_GB2312"/>
                <w:sz w:val="24"/>
              </w:rPr>
              <w:t>授权代理人：</w:t>
            </w:r>
          </w:p>
          <w:p w14:paraId="76F0D46C">
            <w:p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电话：0518-856059</w:t>
            </w:r>
            <w:r>
              <w:rPr>
                <w:rFonts w:hint="eastAsia" w:ascii="仿宋_GB2312" w:hAnsi="仿宋_GB2312" w:eastAsia="仿宋_GB2312" w:cs="仿宋_GB2312"/>
                <w:sz w:val="24"/>
                <w:lang w:val="en-US" w:eastAsia="zh-CN"/>
              </w:rPr>
              <w:t>51</w:t>
            </w:r>
          </w:p>
          <w:p w14:paraId="67726B14">
            <w:pPr>
              <w:jc w:val="left"/>
              <w:rPr>
                <w:rFonts w:ascii="仿宋_GB2312" w:hAnsi="仿宋_GB2312" w:eastAsia="仿宋_GB2312" w:cs="仿宋_GB2312"/>
                <w:sz w:val="24"/>
              </w:rPr>
            </w:pPr>
            <w:r>
              <w:rPr>
                <w:rFonts w:hint="eastAsia" w:ascii="仿宋_GB2312" w:hAnsi="仿宋_GB2312" w:eastAsia="仿宋_GB2312" w:cs="仿宋_GB2312"/>
                <w:sz w:val="24"/>
              </w:rPr>
              <w:t>传真：</w:t>
            </w:r>
          </w:p>
          <w:p w14:paraId="2598DA4B">
            <w:pPr>
              <w:jc w:val="left"/>
              <w:rPr>
                <w:rFonts w:ascii="仿宋_GB2312" w:hAnsi="仿宋_GB2312" w:eastAsia="仿宋_GB2312" w:cs="仿宋_GB2312"/>
                <w:sz w:val="24"/>
              </w:rPr>
            </w:pPr>
            <w:r>
              <w:rPr>
                <w:rFonts w:hint="eastAsia" w:ascii="仿宋_GB2312" w:hAnsi="仿宋_GB2312" w:eastAsia="仿宋_GB2312" w:cs="仿宋_GB2312"/>
                <w:sz w:val="24"/>
              </w:rPr>
              <w:t>开户银行：工行连云港市</w:t>
            </w:r>
            <w:r>
              <w:rPr>
                <w:rFonts w:hint="eastAsia" w:ascii="仿宋_GB2312" w:hAnsi="仿宋_GB2312" w:eastAsia="仿宋_GB2312" w:cs="仿宋_GB2312"/>
                <w:sz w:val="24"/>
                <w:lang w:eastAsia="zh-CN"/>
              </w:rPr>
              <w:t>分行</w:t>
            </w:r>
            <w:r>
              <w:rPr>
                <w:rFonts w:hint="eastAsia" w:ascii="仿宋_GB2312" w:hAnsi="仿宋_GB2312" w:eastAsia="仿宋_GB2312" w:cs="仿宋_GB2312"/>
                <w:sz w:val="24"/>
              </w:rPr>
              <w:t>营业部</w:t>
            </w:r>
          </w:p>
          <w:p w14:paraId="4CC48BDB">
            <w:pPr>
              <w:jc w:val="left"/>
              <w:rPr>
                <w:rFonts w:ascii="仿宋_GB2312" w:hAnsi="仿宋_GB2312" w:eastAsia="仿宋_GB2312" w:cs="仿宋_GB2312"/>
                <w:sz w:val="24"/>
              </w:rPr>
            </w:pPr>
            <w:r>
              <w:rPr>
                <w:rFonts w:hint="eastAsia" w:ascii="仿宋_GB2312" w:hAnsi="仿宋_GB2312" w:eastAsia="仿宋_GB2312" w:cs="仿宋_GB2312"/>
                <w:sz w:val="24"/>
              </w:rPr>
              <w:t>账号：1107010009000</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rPr>
              <w:t>20344</w:t>
            </w:r>
          </w:p>
          <w:p w14:paraId="68307B51">
            <w:pPr>
              <w:jc w:val="left"/>
              <w:rPr>
                <w:rFonts w:ascii="仿宋_GB2312" w:hAnsi="仿宋_GB2312" w:eastAsia="仿宋_GB2312" w:cs="仿宋_GB2312"/>
                <w:sz w:val="24"/>
              </w:rPr>
            </w:pPr>
            <w:r>
              <w:rPr>
                <w:rFonts w:hint="eastAsia" w:ascii="仿宋_GB2312" w:hAnsi="仿宋_GB2312" w:eastAsia="仿宋_GB2312" w:cs="仿宋_GB2312"/>
                <w:sz w:val="24"/>
              </w:rPr>
              <w:t>税号：913207007040440951</w:t>
            </w:r>
          </w:p>
          <w:p w14:paraId="729061B6">
            <w:pPr>
              <w:jc w:val="left"/>
              <w:rPr>
                <w:rFonts w:ascii="仿宋_GB2312" w:hAnsi="仿宋_GB2312" w:eastAsia="仿宋_GB2312" w:cs="仿宋_GB2312"/>
                <w:sz w:val="24"/>
              </w:rPr>
            </w:pPr>
            <w:r>
              <w:rPr>
                <w:rFonts w:hint="eastAsia" w:ascii="仿宋_GB2312" w:hAnsi="仿宋_GB2312" w:eastAsia="仿宋_GB2312" w:cs="仿宋_GB2312"/>
                <w:sz w:val="24"/>
              </w:rPr>
              <w:t>邮政编号：222002</w:t>
            </w:r>
          </w:p>
        </w:tc>
      </w:tr>
    </w:tbl>
    <w:p w14:paraId="72C4C5BB">
      <w:pPr>
        <w:jc w:val="left"/>
        <w:rPr>
          <w:rFonts w:ascii="仿宋_GB2312" w:hAnsi="仿宋_GB2312" w:eastAsia="仿宋_GB2312" w:cs="仿宋_GB2312"/>
          <w:sz w:val="24"/>
          <w:u w:val="single"/>
        </w:rPr>
      </w:pPr>
    </w:p>
    <w:p w14:paraId="47ED588B">
      <w:pPr>
        <w:spacing w:line="360" w:lineRule="auto"/>
        <w:ind w:right="560"/>
        <w:jc w:val="both"/>
        <w:rPr>
          <w:rFonts w:hint="eastAsia" w:ascii="宋体" w:hAnsi="宋体" w:cs="宋体"/>
          <w:sz w:val="24"/>
        </w:rPr>
      </w:pPr>
    </w:p>
    <w:p w14:paraId="4B7A5E5E">
      <w:pPr>
        <w:spacing w:line="360" w:lineRule="auto"/>
        <w:ind w:right="560"/>
        <w:jc w:val="both"/>
        <w:rPr>
          <w:rFonts w:hint="eastAsia" w:ascii="宋体" w:hAnsi="宋体" w:cs="宋体"/>
          <w:sz w:val="24"/>
        </w:rPr>
      </w:pPr>
    </w:p>
    <w:p w14:paraId="2D382E96">
      <w:pPr>
        <w:spacing w:line="360" w:lineRule="auto"/>
        <w:ind w:right="560"/>
        <w:jc w:val="both"/>
        <w:rPr>
          <w:rFonts w:hint="eastAsia" w:ascii="宋体" w:hAnsi="宋体" w:cs="宋体"/>
          <w:sz w:val="24"/>
        </w:rPr>
      </w:pPr>
    </w:p>
    <w:p w14:paraId="701D5814">
      <w:pPr>
        <w:spacing w:line="360" w:lineRule="auto"/>
        <w:ind w:right="560"/>
        <w:jc w:val="both"/>
        <w:rPr>
          <w:rFonts w:hint="eastAsia" w:ascii="宋体" w:hAnsi="宋体" w:cs="宋体"/>
          <w:sz w:val="24"/>
        </w:rPr>
      </w:pPr>
    </w:p>
    <w:p w14:paraId="40FDA8B0">
      <w:pPr>
        <w:spacing w:line="360" w:lineRule="auto"/>
        <w:ind w:right="560"/>
        <w:jc w:val="both"/>
        <w:rPr>
          <w:rFonts w:hint="eastAsia" w:ascii="宋体" w:hAnsi="宋体" w:cs="宋体"/>
          <w:sz w:val="24"/>
        </w:rPr>
      </w:pPr>
    </w:p>
    <w:p w14:paraId="64B5DC94">
      <w:pPr>
        <w:spacing w:line="360" w:lineRule="auto"/>
        <w:ind w:right="560"/>
        <w:jc w:val="both"/>
        <w:rPr>
          <w:rFonts w:hint="eastAsia" w:ascii="宋体" w:hAnsi="宋体" w:cs="宋体"/>
          <w:sz w:val="24"/>
        </w:rPr>
      </w:pPr>
    </w:p>
    <w:p w14:paraId="7C4A2632">
      <w:pPr>
        <w:spacing w:line="360" w:lineRule="auto"/>
        <w:ind w:right="560"/>
        <w:jc w:val="both"/>
        <w:rPr>
          <w:rFonts w:hint="eastAsia" w:ascii="宋体" w:hAnsi="宋体" w:cs="宋体"/>
          <w:sz w:val="24"/>
        </w:rPr>
      </w:pPr>
    </w:p>
    <w:p w14:paraId="12D2C58F">
      <w:pPr>
        <w:spacing w:line="360" w:lineRule="auto"/>
        <w:ind w:right="560"/>
        <w:jc w:val="both"/>
        <w:rPr>
          <w:rFonts w:hint="eastAsia" w:ascii="宋体" w:hAnsi="宋体" w:cs="宋体"/>
          <w:sz w:val="24"/>
        </w:rPr>
      </w:pPr>
    </w:p>
    <w:p w14:paraId="45FDFEBF">
      <w:pPr>
        <w:spacing w:line="360" w:lineRule="auto"/>
        <w:ind w:right="560"/>
        <w:jc w:val="both"/>
        <w:rPr>
          <w:rFonts w:hint="eastAsia" w:ascii="宋体" w:hAnsi="宋体" w:cs="宋体"/>
          <w:sz w:val="24"/>
        </w:rPr>
      </w:pPr>
    </w:p>
    <w:p w14:paraId="0B359E89">
      <w:pPr>
        <w:spacing w:line="360" w:lineRule="auto"/>
        <w:ind w:right="560"/>
        <w:jc w:val="both"/>
        <w:rPr>
          <w:rFonts w:hint="eastAsia" w:ascii="宋体" w:hAnsi="宋体" w:cs="宋体"/>
          <w:sz w:val="24"/>
        </w:rPr>
      </w:pPr>
    </w:p>
    <w:p w14:paraId="6D75A10B">
      <w:pPr>
        <w:spacing w:line="360" w:lineRule="auto"/>
        <w:ind w:right="560"/>
        <w:jc w:val="both"/>
        <w:rPr>
          <w:rFonts w:hint="eastAsia" w:ascii="宋体" w:hAnsi="宋体" w:cs="宋体"/>
          <w:sz w:val="24"/>
        </w:rPr>
      </w:pPr>
    </w:p>
    <w:p w14:paraId="2FB3AF8F">
      <w:pPr>
        <w:spacing w:line="360" w:lineRule="auto"/>
        <w:ind w:right="560"/>
        <w:jc w:val="both"/>
        <w:rPr>
          <w:rFonts w:hint="eastAsia" w:ascii="宋体" w:hAnsi="宋体" w:cs="宋体"/>
          <w:sz w:val="24"/>
        </w:rPr>
      </w:pPr>
    </w:p>
    <w:p w14:paraId="602AD98A">
      <w:pPr>
        <w:spacing w:line="360" w:lineRule="auto"/>
        <w:ind w:right="560"/>
        <w:jc w:val="both"/>
        <w:rPr>
          <w:rFonts w:hint="eastAsia" w:ascii="宋体" w:hAnsi="宋体" w:cs="宋体"/>
          <w:sz w:val="24"/>
        </w:rPr>
      </w:pPr>
    </w:p>
    <w:p w14:paraId="05AF2B52">
      <w:pPr>
        <w:spacing w:line="360" w:lineRule="auto"/>
        <w:ind w:right="560"/>
        <w:jc w:val="both"/>
        <w:rPr>
          <w:rFonts w:hint="eastAsia" w:ascii="宋体" w:hAnsi="宋体" w:cs="宋体"/>
          <w:sz w:val="24"/>
        </w:rPr>
      </w:pPr>
    </w:p>
    <w:p w14:paraId="29B05C7D">
      <w:pPr>
        <w:jc w:val="center"/>
        <w:rPr>
          <w:rFonts w:hint="eastAsia" w:ascii="宋体" w:hAnsi="宋体" w:eastAsia="宋体" w:cs="宋体"/>
          <w:b/>
          <w:bCs/>
          <w:sz w:val="28"/>
          <w:szCs w:val="36"/>
        </w:rPr>
      </w:pPr>
      <w:r>
        <w:rPr>
          <w:rFonts w:hint="eastAsia" w:ascii="宋体" w:hAnsi="宋体" w:eastAsia="宋体" w:cs="宋体"/>
          <w:b/>
          <w:bCs/>
          <w:sz w:val="28"/>
          <w:szCs w:val="36"/>
        </w:rPr>
        <w:t>地埋用DN50镀锌钢管招标技术要求</w:t>
      </w:r>
    </w:p>
    <w:p w14:paraId="4FE590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一、总则</w:t>
      </w:r>
    </w:p>
    <w:p w14:paraId="200ADC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1. 本技术要求适用于地埋电缆保护用热浸镀锌钢管（以下简称“镀锌钢管”）的采购与供货。</w:t>
      </w:r>
    </w:p>
    <w:p w14:paraId="66085E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2. 所有提供的产品必须满足国家相关标准及设计要求，并具有良好的耐腐蚀性、机械性能和施工适应性。</w:t>
      </w:r>
    </w:p>
    <w:p w14:paraId="070A8B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3. 投标人应提供完整的技术资料、质量证明文件及相关检测报告。</w:t>
      </w:r>
    </w:p>
    <w:p w14:paraId="108A04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二、技术参数与性能要求</w:t>
      </w:r>
    </w:p>
    <w:p w14:paraId="337654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1. 钢管规格：</w:t>
      </w:r>
    </w:p>
    <w:p w14:paraId="219194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公称直径：DN50</w:t>
      </w:r>
    </w:p>
    <w:p w14:paraId="38EDF5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r>
        <w:rPr>
          <w:rFonts w:hint="eastAsia"/>
          <w:sz w:val="24"/>
          <w:szCs w:val="24"/>
          <w:lang w:val="en-US" w:eastAsia="zh-CN"/>
        </w:rPr>
        <w:t>- 外径：约60.3 mm壁厚：3.75mm</w:t>
      </w:r>
    </w:p>
    <w:p w14:paraId="6B3D589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长度：标准长度为6米</w:t>
      </w:r>
    </w:p>
    <w:p w14:paraId="08C796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2. 材质标准：</w:t>
      </w:r>
    </w:p>
    <w:p w14:paraId="1374BB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钢材材质：Q235B 或 Q345B（符合GB/T 700《碳素结构钢》或GB/T 1591《低合金高强度结构钢》）</w:t>
      </w:r>
    </w:p>
    <w:p w14:paraId="3CACF4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钢管制造标准：GB/T 3091《低压流体输送用焊接钢管》</w:t>
      </w:r>
    </w:p>
    <w:p w14:paraId="6BF7F6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热浸镀锌标准：GB/T 13912《金属覆盖层 钢铁制件热浸镀锌层技术要求及试验方法》</w:t>
      </w:r>
    </w:p>
    <w:p w14:paraId="6CBCB7A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3. 镀锌层要求：</w:t>
      </w:r>
    </w:p>
    <w:p w14:paraId="287773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镀锌方式：热浸镀锌</w:t>
      </w:r>
    </w:p>
    <w:p w14:paraId="62194D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锌层厚度：平均≥65μm</w:t>
      </w:r>
    </w:p>
    <w:p w14:paraId="25B1B0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表面质量：镀锌层均匀、光滑，无漏镀、起皮、剥落、气泡等缺陷</w:t>
      </w:r>
    </w:p>
    <w:p w14:paraId="700813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4. 外观与尺寸偏差：</w:t>
      </w:r>
    </w:p>
    <w:p w14:paraId="3B20F6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表面应平整、无裂纹、重皮、分层等缺陷</w:t>
      </w:r>
    </w:p>
    <w:p w14:paraId="1CD74B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三、包装、标志与运输要求</w:t>
      </w:r>
    </w:p>
    <w:p w14:paraId="1ADB80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1. 包装：</w:t>
      </w:r>
    </w:p>
    <w:p w14:paraId="3CCE2E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钢管应按定尺捆扎，每捆不少于两道钢带</w:t>
      </w:r>
    </w:p>
    <w:p w14:paraId="2FBBD0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外部包裹防潮材料，防止运输中受损</w:t>
      </w:r>
    </w:p>
    <w:p w14:paraId="6DA71F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2. 运输：</w:t>
      </w:r>
    </w:p>
    <w:p w14:paraId="493853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应采用防雨、防锈措施</w:t>
      </w:r>
    </w:p>
    <w:p w14:paraId="4601D0F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36"/>
          <w:lang w:val="en-US" w:eastAsia="zh-CN"/>
        </w:rPr>
      </w:pPr>
      <w:r>
        <w:rPr>
          <w:rFonts w:hint="eastAsia"/>
          <w:sz w:val="24"/>
          <w:szCs w:val="24"/>
          <w:lang w:val="en-US" w:eastAsia="zh-CN"/>
        </w:rPr>
        <w:t xml:space="preserve">   - 运输过程中应避免剧烈碰撞、挤压变形</w:t>
      </w:r>
    </w:p>
    <w:p w14:paraId="26D2D719">
      <w:pPr>
        <w:jc w:val="center"/>
        <w:rPr>
          <w:rFonts w:hint="eastAsia" w:ascii="宋体" w:hAnsi="宋体" w:eastAsia="宋体" w:cs="宋体"/>
          <w:b/>
          <w:bCs/>
          <w:sz w:val="28"/>
          <w:szCs w:val="36"/>
        </w:rPr>
      </w:pPr>
      <w:r>
        <w:rPr>
          <w:rFonts w:hint="eastAsia" w:ascii="宋体" w:hAnsi="宋体" w:eastAsia="宋体" w:cs="宋体"/>
          <w:b/>
          <w:bCs/>
          <w:sz w:val="28"/>
          <w:szCs w:val="36"/>
        </w:rPr>
        <w:t>地埋用DN200镀锌钢管招标技术要求</w:t>
      </w:r>
    </w:p>
    <w:p w14:paraId="2D3AF23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一、总则</w:t>
      </w:r>
    </w:p>
    <w:p w14:paraId="58337A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1. 本技术要求适用于地埋电缆保护用热浸镀锌钢管（以下简称“镀锌钢管”）的采购与供货。</w:t>
      </w:r>
    </w:p>
    <w:p w14:paraId="0FE744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2. 所有提供的产品必须满足国家相关标准及设计要求，并具有良好的耐腐蚀性、机械性能和施工适应性。</w:t>
      </w:r>
    </w:p>
    <w:p w14:paraId="61112F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3. 投标人应提供完整的技术资料、质量证明文件及相关检测报告。</w:t>
      </w:r>
    </w:p>
    <w:p w14:paraId="4DE4C9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二、技术参数与性能要求</w:t>
      </w:r>
    </w:p>
    <w:p w14:paraId="1C4ECEE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1. 钢管规格：</w:t>
      </w:r>
    </w:p>
    <w:p w14:paraId="3EEFB8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公称直径：DN200</w:t>
      </w:r>
    </w:p>
    <w:p w14:paraId="49F653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外径：约219 mm</w:t>
      </w:r>
    </w:p>
    <w:p w14:paraId="26CA74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壁厚：约6.0 mm</w:t>
      </w:r>
    </w:p>
    <w:p w14:paraId="2F208A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长度：标准长度为6米</w:t>
      </w:r>
    </w:p>
    <w:p w14:paraId="4DCF9C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2. 材质标准：</w:t>
      </w:r>
    </w:p>
    <w:p w14:paraId="696135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钢材材质：Q235B 或 Q345B（符合GB/T 700《碳素结构钢》或GB/T 1591《低合金高强度结构钢》）</w:t>
      </w:r>
    </w:p>
    <w:p w14:paraId="7B7E15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钢管制造标准：GB/T 3091《低压流体输送用焊接钢管》</w:t>
      </w:r>
    </w:p>
    <w:p w14:paraId="2D5AB8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热浸镀锌标准：GB/T 13912《金属覆盖层 钢铁制件热浸镀锌层技术要求及试验方法》</w:t>
      </w:r>
    </w:p>
    <w:p w14:paraId="3A4E59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3. 镀锌层要求：</w:t>
      </w:r>
    </w:p>
    <w:p w14:paraId="5D0217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镀锌方式：热浸镀锌</w:t>
      </w:r>
    </w:p>
    <w:p w14:paraId="3FC42A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锌层厚度：平均≥65μm</w:t>
      </w:r>
    </w:p>
    <w:p w14:paraId="2D9131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表面质量：镀锌层均匀、光滑，无漏镀、起皮、剥落、气泡等缺陷</w:t>
      </w:r>
    </w:p>
    <w:p w14:paraId="406B64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附着力测试：应通过锤击法或弯曲法检验，不得出现脱落现象</w:t>
      </w:r>
    </w:p>
    <w:p w14:paraId="778539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4. 外观与尺寸偏差：</w:t>
      </w:r>
    </w:p>
    <w:p w14:paraId="7DC2155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表面应平整、无裂纹、重皮、分层等缺陷</w:t>
      </w:r>
    </w:p>
    <w:p w14:paraId="78813C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弯曲度不大于钢管长度的0.2%</w:t>
      </w:r>
    </w:p>
    <w:p w14:paraId="4940AF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椭圆度不超过外径公差的80%</w:t>
      </w:r>
    </w:p>
    <w:p w14:paraId="56FE29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三、包装、标志与运输要求</w:t>
      </w:r>
    </w:p>
    <w:p w14:paraId="5A82F1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1. 包装：</w:t>
      </w:r>
    </w:p>
    <w:p w14:paraId="41E29A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钢管应按定尺或倍尺捆扎，每捆不少于两道钢带</w:t>
      </w:r>
    </w:p>
    <w:p w14:paraId="36165A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外部包裹防潮材料，防止运输中受损</w:t>
      </w:r>
    </w:p>
    <w:p w14:paraId="1F9A5E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2. 运输：</w:t>
      </w:r>
    </w:p>
    <w:p w14:paraId="17822B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应采用防雨、防锈措施</w:t>
      </w:r>
    </w:p>
    <w:p w14:paraId="40BC8C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运输过程中应避免剧烈碰撞、挤压变形</w:t>
      </w:r>
    </w:p>
    <w:p w14:paraId="2932CF1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四、检验与验收</w:t>
      </w:r>
    </w:p>
    <w:p w14:paraId="50827E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1. 出厂检验：</w:t>
      </w:r>
    </w:p>
    <w:p w14:paraId="50A641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包括外观检查、尺寸测量、镀锌层厚度检测等</w:t>
      </w:r>
    </w:p>
    <w:p w14:paraId="41BE48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提供每批次的产品合格证、材质报告、镀锌检测报告</w:t>
      </w:r>
    </w:p>
    <w:p w14:paraId="3627C0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2. 到货验收：</w:t>
      </w:r>
    </w:p>
    <w:p w14:paraId="0FBF9A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买方有权在交货地点对产品进行抽样复检</w:t>
      </w:r>
    </w:p>
    <w:p w14:paraId="4E201A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如发现不合格品，卖方须无条件更换并承担相应责任</w:t>
      </w:r>
    </w:p>
    <w:p w14:paraId="7E296C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3. 第三方检测：</w:t>
      </w:r>
    </w:p>
    <w:p w14:paraId="103560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必要时由双方认可的第三方检测机构出具检测报告</w:t>
      </w:r>
    </w:p>
    <w:p w14:paraId="29E7C570">
      <w:pPr>
        <w:widowControl w:val="0"/>
        <w:numPr>
          <w:ilvl w:val="0"/>
          <w:numId w:val="0"/>
        </w:numPr>
        <w:spacing w:line="360" w:lineRule="auto"/>
        <w:ind w:firstLine="420" w:firstLineChars="200"/>
        <w:jc w:val="both"/>
        <w:rPr>
          <w:rFonts w:hint="eastAsia"/>
          <w:lang w:val="en-US" w:eastAsia="zh-CN"/>
        </w:rPr>
      </w:pPr>
    </w:p>
    <w:p w14:paraId="5E81C5BF">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785E51"/>
    <w:rsid w:val="0E1A4489"/>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5B465F2"/>
    <w:rsid w:val="16BD7DED"/>
    <w:rsid w:val="171A4BA4"/>
    <w:rsid w:val="178640CA"/>
    <w:rsid w:val="17C9440E"/>
    <w:rsid w:val="18FB23C1"/>
    <w:rsid w:val="193309FC"/>
    <w:rsid w:val="1A0863A5"/>
    <w:rsid w:val="1A0B4CF3"/>
    <w:rsid w:val="1B523C11"/>
    <w:rsid w:val="1B9E1559"/>
    <w:rsid w:val="1BC0327E"/>
    <w:rsid w:val="1BD567F0"/>
    <w:rsid w:val="1C5D5B32"/>
    <w:rsid w:val="1D4B1478"/>
    <w:rsid w:val="1DBB1976"/>
    <w:rsid w:val="1DCF3863"/>
    <w:rsid w:val="1DF56DD3"/>
    <w:rsid w:val="1E127068"/>
    <w:rsid w:val="1F0028D1"/>
    <w:rsid w:val="1F097870"/>
    <w:rsid w:val="1F1979A7"/>
    <w:rsid w:val="1F251A50"/>
    <w:rsid w:val="1F5808B2"/>
    <w:rsid w:val="1F5844BB"/>
    <w:rsid w:val="1F8A6A8E"/>
    <w:rsid w:val="1FB216ED"/>
    <w:rsid w:val="208E0508"/>
    <w:rsid w:val="209C2412"/>
    <w:rsid w:val="20A27049"/>
    <w:rsid w:val="219C68EA"/>
    <w:rsid w:val="220B3A67"/>
    <w:rsid w:val="22770EBB"/>
    <w:rsid w:val="22877591"/>
    <w:rsid w:val="22D10D3B"/>
    <w:rsid w:val="23104268"/>
    <w:rsid w:val="23991505"/>
    <w:rsid w:val="23BB7507"/>
    <w:rsid w:val="23C07B4A"/>
    <w:rsid w:val="249D7540"/>
    <w:rsid w:val="24B66833"/>
    <w:rsid w:val="25710060"/>
    <w:rsid w:val="258D6F73"/>
    <w:rsid w:val="25B120DE"/>
    <w:rsid w:val="261E1082"/>
    <w:rsid w:val="267674A7"/>
    <w:rsid w:val="271353E6"/>
    <w:rsid w:val="27743463"/>
    <w:rsid w:val="27AD3221"/>
    <w:rsid w:val="28CD567C"/>
    <w:rsid w:val="297C4D6A"/>
    <w:rsid w:val="2A1667FD"/>
    <w:rsid w:val="2A19588C"/>
    <w:rsid w:val="2B430C27"/>
    <w:rsid w:val="2BB20311"/>
    <w:rsid w:val="2BDD0222"/>
    <w:rsid w:val="2BE3444E"/>
    <w:rsid w:val="2C582C57"/>
    <w:rsid w:val="2C751A6A"/>
    <w:rsid w:val="2CB247E9"/>
    <w:rsid w:val="2D670841"/>
    <w:rsid w:val="2D7B7CF2"/>
    <w:rsid w:val="2F414F6C"/>
    <w:rsid w:val="302108D5"/>
    <w:rsid w:val="30B13AE1"/>
    <w:rsid w:val="31180264"/>
    <w:rsid w:val="321A3C3D"/>
    <w:rsid w:val="32455388"/>
    <w:rsid w:val="331128CC"/>
    <w:rsid w:val="33AB2DFB"/>
    <w:rsid w:val="343B74DF"/>
    <w:rsid w:val="34EB4A02"/>
    <w:rsid w:val="356D26B6"/>
    <w:rsid w:val="356E4E17"/>
    <w:rsid w:val="376322BC"/>
    <w:rsid w:val="38213B10"/>
    <w:rsid w:val="38AC28C0"/>
    <w:rsid w:val="391E7B42"/>
    <w:rsid w:val="399846AE"/>
    <w:rsid w:val="39993E40"/>
    <w:rsid w:val="39A405D1"/>
    <w:rsid w:val="39BD5776"/>
    <w:rsid w:val="3A5032E7"/>
    <w:rsid w:val="3A6A792B"/>
    <w:rsid w:val="3A8B2DDD"/>
    <w:rsid w:val="3AA21814"/>
    <w:rsid w:val="3AAB5061"/>
    <w:rsid w:val="3B5D4A7E"/>
    <w:rsid w:val="3B785AA9"/>
    <w:rsid w:val="3BC75965"/>
    <w:rsid w:val="3BC80761"/>
    <w:rsid w:val="3CFC70CA"/>
    <w:rsid w:val="3E0E5DD4"/>
    <w:rsid w:val="3E0E7A8A"/>
    <w:rsid w:val="3E1A1B0B"/>
    <w:rsid w:val="3E9A2461"/>
    <w:rsid w:val="3EDC73DD"/>
    <w:rsid w:val="3F0F5FB1"/>
    <w:rsid w:val="400144C3"/>
    <w:rsid w:val="40036A20"/>
    <w:rsid w:val="40432112"/>
    <w:rsid w:val="41464438"/>
    <w:rsid w:val="41BD2505"/>
    <w:rsid w:val="41C31607"/>
    <w:rsid w:val="42140EA8"/>
    <w:rsid w:val="42734EFD"/>
    <w:rsid w:val="435C6356"/>
    <w:rsid w:val="43E3590A"/>
    <w:rsid w:val="451F3F2C"/>
    <w:rsid w:val="45264590"/>
    <w:rsid w:val="453254A3"/>
    <w:rsid w:val="45AE2934"/>
    <w:rsid w:val="463933AC"/>
    <w:rsid w:val="467A0DF2"/>
    <w:rsid w:val="46D633A5"/>
    <w:rsid w:val="470A54D5"/>
    <w:rsid w:val="477214B2"/>
    <w:rsid w:val="482512D8"/>
    <w:rsid w:val="488134C6"/>
    <w:rsid w:val="48D70925"/>
    <w:rsid w:val="4A242B72"/>
    <w:rsid w:val="4B2844F3"/>
    <w:rsid w:val="4B2B4CF5"/>
    <w:rsid w:val="4B5120F7"/>
    <w:rsid w:val="4B5F0F48"/>
    <w:rsid w:val="4C114359"/>
    <w:rsid w:val="4DA5179B"/>
    <w:rsid w:val="4DD16AAC"/>
    <w:rsid w:val="4F6770A0"/>
    <w:rsid w:val="50140E89"/>
    <w:rsid w:val="51D72A7B"/>
    <w:rsid w:val="51E34706"/>
    <w:rsid w:val="535541BB"/>
    <w:rsid w:val="53E56A1C"/>
    <w:rsid w:val="544678EB"/>
    <w:rsid w:val="54F76591"/>
    <w:rsid w:val="551A75C7"/>
    <w:rsid w:val="55BC72BE"/>
    <w:rsid w:val="55E92434"/>
    <w:rsid w:val="567F58DD"/>
    <w:rsid w:val="568E3C42"/>
    <w:rsid w:val="56BF65F2"/>
    <w:rsid w:val="56E46EA3"/>
    <w:rsid w:val="573B6C6D"/>
    <w:rsid w:val="57AF37F8"/>
    <w:rsid w:val="58192E60"/>
    <w:rsid w:val="5827645E"/>
    <w:rsid w:val="58AF117C"/>
    <w:rsid w:val="598D7371"/>
    <w:rsid w:val="599E1B42"/>
    <w:rsid w:val="5A7259C5"/>
    <w:rsid w:val="5A870E7A"/>
    <w:rsid w:val="5B0416A8"/>
    <w:rsid w:val="5C5F030B"/>
    <w:rsid w:val="5EB838BA"/>
    <w:rsid w:val="5F824661"/>
    <w:rsid w:val="5FF80052"/>
    <w:rsid w:val="60171399"/>
    <w:rsid w:val="60AC0C42"/>
    <w:rsid w:val="61651638"/>
    <w:rsid w:val="61A20F78"/>
    <w:rsid w:val="61D54F1C"/>
    <w:rsid w:val="63355F2E"/>
    <w:rsid w:val="63917746"/>
    <w:rsid w:val="63EC4B1D"/>
    <w:rsid w:val="65953D7B"/>
    <w:rsid w:val="66A6332B"/>
    <w:rsid w:val="68253A64"/>
    <w:rsid w:val="68442DFB"/>
    <w:rsid w:val="68C236C5"/>
    <w:rsid w:val="68F53A74"/>
    <w:rsid w:val="694E4DC2"/>
    <w:rsid w:val="6AD432EA"/>
    <w:rsid w:val="6B1B3F4D"/>
    <w:rsid w:val="6B692F7A"/>
    <w:rsid w:val="6BDD55E7"/>
    <w:rsid w:val="6C66353A"/>
    <w:rsid w:val="6CA80668"/>
    <w:rsid w:val="6D171304"/>
    <w:rsid w:val="6E123E67"/>
    <w:rsid w:val="6FD05675"/>
    <w:rsid w:val="6FD627F6"/>
    <w:rsid w:val="70316B6B"/>
    <w:rsid w:val="71487932"/>
    <w:rsid w:val="71B44B4E"/>
    <w:rsid w:val="71FD4A4D"/>
    <w:rsid w:val="725256DA"/>
    <w:rsid w:val="72CF5403"/>
    <w:rsid w:val="748728B0"/>
    <w:rsid w:val="753B2405"/>
    <w:rsid w:val="76074DF1"/>
    <w:rsid w:val="76135B49"/>
    <w:rsid w:val="76D852CA"/>
    <w:rsid w:val="76F4258A"/>
    <w:rsid w:val="775018D4"/>
    <w:rsid w:val="78AC7019"/>
    <w:rsid w:val="791148FA"/>
    <w:rsid w:val="7AE5230C"/>
    <w:rsid w:val="7B1B6C2F"/>
    <w:rsid w:val="7B21451B"/>
    <w:rsid w:val="7B3528E7"/>
    <w:rsid w:val="7B7F24C7"/>
    <w:rsid w:val="7BBC0535"/>
    <w:rsid w:val="7CAF14B1"/>
    <w:rsid w:val="7CB61BD5"/>
    <w:rsid w:val="7CCE6599"/>
    <w:rsid w:val="7D80702A"/>
    <w:rsid w:val="7E8A2177"/>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18</Pages>
  <Words>6951</Words>
  <Characters>7502</Characters>
  <Lines>0</Lines>
  <Paragraphs>0</Paragraphs>
  <TotalTime>8</TotalTime>
  <ScaleCrop>false</ScaleCrop>
  <LinksUpToDate>false</LinksUpToDate>
  <CharactersWithSpaces>8301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2025-03-26T07:57:00Z</cp:lastPrinted>
  <dcterms:modified xsi:type="dcterms:W3CDTF">2025-08-01T02:29:55Z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