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6CCC">
      <w:pPr>
        <w:pStyle w:val="4"/>
        <w:spacing w:beforeLines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华能灌西盐场300MW渔光互补盐文化绿色能源项目光缆</w:t>
      </w:r>
      <w:bookmarkStart w:id="7" w:name="_GoBack"/>
      <w:bookmarkEnd w:id="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招标公告</w:t>
      </w:r>
    </w:p>
    <w:p w14:paraId="5C651792">
      <w:pPr>
        <w:pStyle w:val="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16815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招标条件</w:t>
      </w:r>
      <w:bookmarkEnd w:id="0"/>
    </w:p>
    <w:p w14:paraId="6A8BCE82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本招标项目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华能灌西盐场300MW渔光互补盐文化绿色能源项目光缆采购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（项目名称）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招标人为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连云港市工业投资集团有限公司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招标项目资金来自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企业自筹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出资比例为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100%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。该项目已具备招标条件，现进行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公开招标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C557821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Toc1917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项目概况与招标范围</w:t>
      </w:r>
      <w:bookmarkEnd w:id="1"/>
    </w:p>
    <w:p w14:paraId="58AF760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2.1招标范围：</w:t>
      </w:r>
      <w:r>
        <w:rPr>
          <w:rFonts w:hint="eastAsia"/>
          <w:sz w:val="24"/>
          <w:lang w:eastAsia="zh-CN"/>
        </w:rPr>
        <w:t>华能灌西盐场300MW渔光互补盐文化绿色能源项目光缆的采购，</w:t>
      </w:r>
      <w:r>
        <w:rPr>
          <w:rFonts w:hint="eastAsia"/>
          <w:sz w:val="24"/>
          <w:lang w:val="en-US" w:eastAsia="zh-CN"/>
        </w:rPr>
        <w:t>具体详见招标文件。</w:t>
      </w:r>
    </w:p>
    <w:p w14:paraId="696D8D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2.2交货地点：连云港市（具体按招标人指定地点）。</w:t>
      </w:r>
    </w:p>
    <w:p w14:paraId="7A2A6C4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2.3交货期：第一批2025年08月02日前供货，第二批2025年08月16日前供货。</w:t>
      </w:r>
    </w:p>
    <w:p w14:paraId="3123FBE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合同期限（质保期）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自合同签订之日起2</w:t>
      </w:r>
      <w:r>
        <w:rPr>
          <w:rFonts w:hint="eastAsia"/>
          <w:sz w:val="24"/>
          <w:highlight w:val="none"/>
        </w:rPr>
        <w:t>年；</w:t>
      </w:r>
    </w:p>
    <w:p w14:paraId="50B3AE4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标段划分：1个标段。</w:t>
      </w:r>
    </w:p>
    <w:p w14:paraId="7E150EB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最高限价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31.115</w:t>
      </w:r>
      <w:r>
        <w:rPr>
          <w:rFonts w:hint="eastAsia"/>
          <w:sz w:val="24"/>
        </w:rPr>
        <w:t>万元</w:t>
      </w:r>
      <w:r>
        <w:rPr>
          <w:rFonts w:hint="eastAsia"/>
          <w:sz w:val="24"/>
          <w:lang w:eastAsia="zh-CN"/>
        </w:rPr>
        <w:t>，投标报价不得超过最高投标限价，否则按无效标处理</w:t>
      </w:r>
      <w:r>
        <w:rPr>
          <w:rFonts w:hint="eastAsia"/>
          <w:sz w:val="24"/>
        </w:rPr>
        <w:t>。</w:t>
      </w:r>
    </w:p>
    <w:p w14:paraId="7A36A58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质量标准：合格，并符合国家现行产品验收合格标准。</w:t>
      </w:r>
    </w:p>
    <w:p w14:paraId="0FB6140B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12428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投标人资格要求</w:t>
      </w:r>
      <w:bookmarkEnd w:id="2"/>
    </w:p>
    <w:p w14:paraId="3ECE7D7C">
      <w:pPr>
        <w:pStyle w:val="8"/>
      </w:pPr>
      <w:r>
        <w:t>3.</w:t>
      </w:r>
      <w:r>
        <w:rPr>
          <w:rFonts w:hint="eastAsia"/>
        </w:rPr>
        <w:t>1资格要求：依法设立、具有独立承担民事责任的能力，提供营业执照复印件并加盖公章。</w:t>
      </w:r>
    </w:p>
    <w:p w14:paraId="30A4971C">
      <w:pPr>
        <w:pStyle w:val="8"/>
        <w:rPr>
          <w:rFonts w:hint="eastAsia"/>
        </w:rPr>
      </w:pPr>
      <w:r>
        <w:t>3.</w:t>
      </w:r>
      <w:r>
        <w:rPr>
          <w:rFonts w:hint="eastAsia"/>
        </w:rPr>
        <w:t>2 投标人业绩：20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年1月1日至投标文件递交截止时间期间，投标人具有</w:t>
      </w:r>
      <w:r>
        <w:rPr>
          <w:rFonts w:hint="eastAsia"/>
          <w:lang w:eastAsia="zh-CN"/>
        </w:rPr>
        <w:t>光缆</w:t>
      </w:r>
      <w:r>
        <w:rPr>
          <w:rFonts w:hint="eastAsia"/>
        </w:rPr>
        <w:t>销售业绩。</w:t>
      </w:r>
    </w:p>
    <w:p w14:paraId="7AAB85E4">
      <w:pPr>
        <w:pStyle w:val="8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注：投标人应提供能证明业绩的合同复印件并加盖公章，</w:t>
      </w:r>
      <w:r>
        <w:rPr>
          <w:rFonts w:hint="eastAsia"/>
          <w:b/>
          <w:bCs/>
          <w:lang w:val="en-US" w:eastAsia="zh-CN"/>
        </w:rPr>
        <w:t>时间已合同签订时间为准，</w:t>
      </w:r>
      <w:r>
        <w:rPr>
          <w:rFonts w:hint="eastAsia"/>
          <w:b/>
          <w:bCs/>
        </w:rPr>
        <w:t>合同</w:t>
      </w:r>
      <w:r>
        <w:rPr>
          <w:rFonts w:hint="eastAsia"/>
          <w:b/>
          <w:bCs/>
          <w:lang w:val="en-US" w:eastAsia="zh-CN"/>
        </w:rPr>
        <w:t>至少包含</w:t>
      </w:r>
      <w:r>
        <w:rPr>
          <w:rFonts w:hint="eastAsia"/>
          <w:b/>
          <w:bCs/>
        </w:rPr>
        <w:t>关键页复印件（包括合同名称、合同金额、合同标的、签字盖章页）。</w:t>
      </w:r>
      <w:r>
        <w:rPr>
          <w:rFonts w:hint="eastAsia"/>
          <w:b/>
          <w:bCs/>
          <w:lang w:val="en-US" w:eastAsia="zh-CN"/>
        </w:rPr>
        <w:t>否则不予认可。</w:t>
      </w:r>
    </w:p>
    <w:p w14:paraId="08E5762C">
      <w:pPr>
        <w:pStyle w:val="8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3.3投标单位拟报项目负责人（授权委托人）必须为本单位正式职工，提供2024年12月-2025年5月由社保机构出具社保缴纳证明材料，并加盖社保中心章或社保中心参保缴费证明电子专用章。</w:t>
      </w:r>
    </w:p>
    <w:p w14:paraId="2511D928">
      <w:pPr>
        <w:pStyle w:val="8"/>
        <w:outlineLvl w:val="2"/>
      </w:pPr>
      <w:bookmarkStart w:id="3" w:name="_Toc31140"/>
      <w:r>
        <w:t>3.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信誉要求：</w:t>
      </w:r>
      <w:bookmarkEnd w:id="3"/>
      <w:r>
        <w:rPr>
          <w:rFonts w:hint="eastAsia"/>
        </w:rPr>
        <w:t xml:space="preserve"> </w:t>
      </w:r>
    </w:p>
    <w:p w14:paraId="40055336">
      <w:pPr>
        <w:pStyle w:val="8"/>
        <w:rPr>
          <w:b/>
          <w:bCs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照《关于在招标投标活动中对失信被执行人实施联合惩戒的通知》要求，进一步加强在招标投标活动中对失信被执行人实施联合惩戒。被人民法院列为失信被执行人的不得参与投标，各投标人应通过“信用中国”网站（www.creditchina.gov.cn）或中国执行信息网查询被列为失信被执行人情况，</w:t>
      </w:r>
      <w:r>
        <w:rPr>
          <w:rFonts w:hint="eastAsia"/>
          <w:b/>
          <w:bCs/>
        </w:rPr>
        <w:t>提供相关查询截图并加盖投标人单位章。</w:t>
      </w:r>
    </w:p>
    <w:p w14:paraId="287118F8">
      <w:pPr>
        <w:pStyle w:val="8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）投标单位须提供承诺，承诺近三年投标人及其法定代表人无行贿犯罪记录，如经查不实则无条件放弃投标、中标资格，并承担相关责任及由此造成的一切后果。</w:t>
      </w:r>
    </w:p>
    <w:p w14:paraId="4038A98F">
      <w:pPr>
        <w:pStyle w:val="8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）未被有关行政部门暂停投标资格，或被有关行政部门暂停投标资格期限已满。</w:t>
      </w:r>
    </w:p>
    <w:p w14:paraId="54D5EF5A">
      <w:pPr>
        <w:pStyle w:val="8"/>
        <w:rPr>
          <w:rFonts w:hint="eastAsia" w:eastAsiaTheme="minorEastAsia"/>
          <w:lang w:val="en-US" w:eastAsia="zh-CN"/>
        </w:rPr>
      </w:pPr>
      <w:r>
        <w:t>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其他要求：法定代表人为同一个人的两个或两个以上法人不得同时投标；母公司与其全资子公司和/或控股公司不得同时参加投标。</w:t>
      </w:r>
    </w:p>
    <w:p w14:paraId="3EC989B6">
      <w:pPr>
        <w:pStyle w:val="8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30336"/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本次招标不接受联合体投标，中标后不允许分包或转包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4"/>
    </w:p>
    <w:p w14:paraId="7B7B4518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18613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招标文件的获取</w:t>
      </w:r>
      <w:bookmarkEnd w:id="5"/>
    </w:p>
    <w:p w14:paraId="0C985BA4">
      <w:pPr>
        <w:spacing w:line="360" w:lineRule="auto"/>
        <w:ind w:firstLine="480" w:firstLineChars="200"/>
        <w:jc w:val="left"/>
        <w:rPr>
          <w:rFonts w:ascii="宋体" w:hAnsi="宋体" w:cs="Times New Roman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lang w:val="en-US" w:eastAsia="zh-CN"/>
        </w:rPr>
        <w:t>时间：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日至2025年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日，上午08:30-12:00，下午14:30-17:30（北京时间，节假日除外）</w:t>
      </w:r>
    </w:p>
    <w:p w14:paraId="67F460F0">
      <w:pPr>
        <w:ind w:firstLine="480" w:firstLineChars="200"/>
        <w:jc w:val="left"/>
        <w:rPr>
          <w:rFonts w:hint="eastAsia" w:ascii="宋体" w:hAnsi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地点：前往连云港市海州区秦东门大街兴亿达大厦东厅14楼1403会议室参加投标报名并购买招标文件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或提供相关资料扫描件加盖公章发送至采购代理机构邮箱（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instrText xml:space="preserve"> HYPERLINK "mailto:2528389565@qq.com" </w:instrTex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2528389565@qq.com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。</w:t>
      </w:r>
    </w:p>
    <w:p w14:paraId="39DC10EA">
      <w:pPr>
        <w:spacing w:line="360" w:lineRule="auto"/>
        <w:ind w:firstLine="480" w:firstLineChars="200"/>
        <w:jc w:val="left"/>
        <w:rPr>
          <w:rFonts w:hint="eastAsia" w:ascii="宋体" w:hAnsi="宋体" w:cs="Times New Roman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报名须提供以下材料</w:t>
      </w:r>
    </w:p>
    <w:p w14:paraId="6E9C5085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投标单位针对本项目的法定代表人授权委托书或介绍信</w:t>
      </w:r>
      <w:r>
        <w:rPr>
          <w:rFonts w:hint="eastAsia" w:ascii="宋体" w:hAnsi="宋体" w:cs="宋体"/>
          <w:sz w:val="24"/>
          <w:lang w:val="en-US" w:eastAsia="zh-CN"/>
        </w:rPr>
        <w:t>原件加盖公章</w:t>
      </w:r>
      <w:r>
        <w:rPr>
          <w:rFonts w:hint="eastAsia" w:ascii="宋体" w:hAnsi="宋体" w:cs="Times New Roman"/>
          <w:sz w:val="24"/>
          <w:szCs w:val="24"/>
        </w:rPr>
        <w:t>（注明联系人、联系方式、邮箱）</w:t>
      </w:r>
      <w:r>
        <w:rPr>
          <w:rFonts w:hint="eastAsia" w:ascii="宋体" w:hAnsi="宋体" w:cs="宋体"/>
          <w:sz w:val="24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授权委托人（</w:t>
      </w:r>
      <w:r>
        <w:rPr>
          <w:rFonts w:hint="eastAsia" w:ascii="宋体" w:hAnsi="宋体" w:cs="宋体"/>
          <w:sz w:val="24"/>
        </w:rPr>
        <w:t>经办人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身份证</w:t>
      </w:r>
      <w:r>
        <w:rPr>
          <w:rFonts w:hint="eastAsia" w:ascii="宋体" w:hAnsi="宋体" w:cs="宋体"/>
          <w:sz w:val="24"/>
          <w:lang w:val="en-US" w:eastAsia="zh-CN"/>
        </w:rPr>
        <w:t>复印件加盖公章</w:t>
      </w:r>
      <w:r>
        <w:rPr>
          <w:rFonts w:hint="eastAsia" w:ascii="宋体" w:hAnsi="宋体" w:cs="宋体"/>
          <w:sz w:val="24"/>
        </w:rPr>
        <w:t>；投标单位营业执照</w:t>
      </w:r>
      <w:r>
        <w:rPr>
          <w:rFonts w:hint="eastAsia" w:ascii="宋体" w:hAnsi="宋体" w:cs="宋体"/>
          <w:sz w:val="24"/>
          <w:lang w:val="en-US" w:eastAsia="zh-CN"/>
        </w:rPr>
        <w:t>复印件加盖公章；项目负责人社保证明复印件加盖公章；类似业绩证明材料复印件加盖公章；</w:t>
      </w:r>
    </w:p>
    <w:p w14:paraId="648D52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潜在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8"/>
        </w:rPr>
        <w:t>应在投标截止时间前随时查看“江苏省招标投标公共服务平台”中有关该项目的答疑和相关内容。否则，由此引起的投标损失自负。</w:t>
      </w:r>
    </w:p>
    <w:p w14:paraId="4F19AF2C">
      <w:pPr>
        <w:spacing w:line="360" w:lineRule="auto"/>
        <w:ind w:firstLine="480" w:firstLineChars="200"/>
        <w:jc w:val="left"/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</w:pP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本次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采用资格后审方式进行资格审查。能够购买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文件并不代表资格审查合格，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人、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代理机构对此不承担任何责任。开标后由评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委员会按照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文件规定的标准和方法进行资格审查。</w:t>
      </w:r>
    </w:p>
    <w:p w14:paraId="4DD09E73">
      <w:pPr>
        <w:pStyle w:val="5"/>
        <w:numPr>
          <w:ilvl w:val="0"/>
          <w:numId w:val="1"/>
        </w:numPr>
        <w:jc w:val="left"/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6" w:name="_Toc17451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投标文件的递交</w:t>
      </w:r>
      <w:bookmarkEnd w:id="6"/>
    </w:p>
    <w:p w14:paraId="1FD24793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递交截止时间：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15:30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（北京时间）</w:t>
      </w:r>
      <w:r>
        <w:rPr>
          <w:rFonts w:hint="eastAsia" w:ascii="Arial" w:hAnsi="Arial" w:eastAsia="宋体" w:cs="Times New Roman"/>
          <w:color w:val="FF0000"/>
          <w:sz w:val="24"/>
          <w:szCs w:val="24"/>
          <w:highlight w:val="none"/>
          <w:lang w:eastAsia="zh-CN"/>
        </w:rPr>
        <w:t>；</w:t>
      </w:r>
    </w:p>
    <w:p w14:paraId="1711C65A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递交方式：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现场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纸质递交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或邮寄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(正本一份 , 副本四份（电子U盘1份）)。</w:t>
      </w:r>
    </w:p>
    <w:p w14:paraId="4DD8337E">
      <w:pPr>
        <w:ind w:firstLine="480" w:firstLineChars="200"/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递交地点：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。</w:t>
      </w:r>
    </w:p>
    <w:p w14:paraId="067DDAE1">
      <w:pPr>
        <w:ind w:firstLine="480" w:firstLineChars="200"/>
        <w:rPr>
          <w:rFonts w:hint="default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邮寄地址：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连云港市海州区秦东门大街兴亿达大厦东厅14楼1406会议室，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接收人：季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工 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电话：0518-85837858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 。（请各投标人充分考虑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邮寄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在途时间，过时不候。）</w:t>
      </w:r>
    </w:p>
    <w:p w14:paraId="694A9699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sz w:val="24"/>
          <w:highlight w:val="none"/>
          <w:lang w:eastAsia="zh-CN"/>
        </w:rPr>
        <w:t>对迟到的投标文件，将不予接受。</w:t>
      </w:r>
    </w:p>
    <w:p w14:paraId="1E65C0AD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开标时间及地点</w:t>
      </w:r>
    </w:p>
    <w:p w14:paraId="41A381EE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22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15:30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（北京时间）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8282B3C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宋体" w:hAnsi="宋体" w:cs="Times New Roman"/>
          <w:sz w:val="24"/>
          <w:szCs w:val="24"/>
        </w:rPr>
        <w:t>连云港市海州区秦东门大街兴亿达大厦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东</w:t>
      </w:r>
      <w:r>
        <w:rPr>
          <w:rFonts w:hint="eastAsia" w:ascii="宋体" w:hAnsi="宋体" w:cs="Times New Roman"/>
          <w:sz w:val="24"/>
          <w:szCs w:val="24"/>
        </w:rPr>
        <w:t>厅14楼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1406</w:t>
      </w:r>
      <w:r>
        <w:rPr>
          <w:rFonts w:hint="eastAsia" w:ascii="宋体" w:hAnsi="宋体" w:cs="Times New Roman"/>
          <w:sz w:val="24"/>
          <w:szCs w:val="24"/>
        </w:rPr>
        <w:t>会议室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72E41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发布媒介</w:t>
      </w:r>
    </w:p>
    <w:p w14:paraId="0A63E7B0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江苏省招标投标公共服务平台、连云港市工业投资集团有限公司官网、工业投资集团供电工程分公司官网同步发布。</w:t>
      </w:r>
    </w:p>
    <w:p w14:paraId="0E5A6AE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联系方式</w:t>
      </w:r>
    </w:p>
    <w:p w14:paraId="1FF2A0CC">
      <w:pPr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连云港市工业投资集团有限公司</w:t>
      </w:r>
    </w:p>
    <w:p w14:paraId="770CFC53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  址：连云港市高新区花果山大道109号</w:t>
      </w:r>
    </w:p>
    <w:p w14:paraId="062F9CC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杨工</w:t>
      </w:r>
    </w:p>
    <w:p w14:paraId="52F7D54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电话：19901572048</w:t>
      </w:r>
    </w:p>
    <w:p w14:paraId="43633FEF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E4449B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招标代理机构：中企华建友工程管理有限公司</w:t>
      </w:r>
    </w:p>
    <w:p w14:paraId="7DE9F41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地址：连云港市海州区秦东门大街兴亿达大厦东厅14楼</w:t>
      </w:r>
    </w:p>
    <w:p w14:paraId="17A61829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工        </w:t>
      </w:r>
    </w:p>
    <w:p w14:paraId="0AB3C2A6">
      <w:pPr>
        <w:ind w:firstLine="480" w:firstLineChars="200"/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电话：0518-85837858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3E926">
    <w:pPr>
      <w:pStyle w:val="7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77088113"/>
                          </w:sdtPr>
                          <w:sdtContent>
                            <w:p w14:paraId="140FA177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 w:eastAsia="zh-CN"/>
                                </w:rPr>
                                <w:t>19</w:t>
                              </w:r>
                              <w:r>
                                <w:rPr>
                                  <w:lang w:val="zh-CN" w:eastAsia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A5B2919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77088113"/>
                    </w:sdtPr>
                    <w:sdtContent>
                      <w:p w14:paraId="140FA177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 w:eastAsia="zh-CN"/>
                          </w:rPr>
                          <w:t>19</w:t>
                        </w:r>
                        <w:r>
                          <w:rPr>
                            <w:lang w:val="zh-CN" w:eastAsia="zh-CN"/>
                          </w:rPr>
                          <w:fldChar w:fldCharType="end"/>
                        </w:r>
                      </w:p>
                    </w:sdtContent>
                  </w:sdt>
                  <w:p w14:paraId="0A5B2919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4D80A0C5">
    <w:pPr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DF2BE"/>
    <w:multiLevelType w:val="singleLevel"/>
    <w:tmpl w:val="5AADF2B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63C2157"/>
    <w:rsid w:val="243303BE"/>
    <w:rsid w:val="2AF61758"/>
    <w:rsid w:val="32704FDB"/>
    <w:rsid w:val="35B11F0A"/>
    <w:rsid w:val="37923F3D"/>
    <w:rsid w:val="493D634C"/>
    <w:rsid w:val="4E6672D2"/>
    <w:rsid w:val="58A27750"/>
    <w:rsid w:val="58BF0B2C"/>
    <w:rsid w:val="5B0D2022"/>
    <w:rsid w:val="5FC21B0F"/>
    <w:rsid w:val="619D39D4"/>
    <w:rsid w:val="6DF3577F"/>
    <w:rsid w:val="7A9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sz w:val="28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Theme="majorHAnsi" w:hAnsiTheme="majorHAnsi" w:eastAsiaTheme="majorEastAsia"/>
      <w:bCs/>
      <w:sz w:val="32"/>
      <w:szCs w:val="44"/>
      <w:lang w:eastAsia="zh-CN"/>
    </w:rPr>
  </w:style>
  <w:style w:type="paragraph" w:styleId="5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eastAsia="黑体" w:asciiTheme="majorHAnsi" w:hAnsiTheme="majorHAnsi" w:cstheme="majorHAnsi"/>
      <w:sz w:val="32"/>
      <w:szCs w:val="20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/>
      <w:kern w:val="2"/>
      <w:sz w:val="21"/>
    </w:rPr>
  </w:style>
  <w:style w:type="paragraph" w:styleId="3">
    <w:name w:val="Body Text Indent"/>
    <w:basedOn w:val="1"/>
    <w:qFormat/>
    <w:uiPriority w:val="0"/>
    <w:pPr>
      <w:ind w:left="851"/>
    </w:pPr>
    <w:rPr>
      <w:rFonts w:cs="Times New Roman"/>
      <w:szCs w:val="24"/>
      <w:lang w:eastAsia="zh-CN"/>
    </w:rPr>
  </w:style>
  <w:style w:type="paragraph" w:styleId="6">
    <w:name w:val="Body Text Indent 2"/>
    <w:basedOn w:val="1"/>
    <w:qFormat/>
    <w:uiPriority w:val="0"/>
    <w:pPr>
      <w:autoSpaceDE w:val="0"/>
      <w:autoSpaceDN w:val="0"/>
      <w:adjustRightInd w:val="0"/>
      <w:ind w:left="240" w:firstLine="570"/>
      <w:jc w:val="center"/>
      <w:textAlignment w:val="baseline"/>
    </w:pPr>
    <w:rPr>
      <w:rFonts w:ascii="宋体" w:hAnsi="Times New Roman" w:eastAsia="宋体" w:cs="Times New Roman"/>
      <w:szCs w:val="20"/>
      <w:lang w:eastAsia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"/>
    <w:basedOn w:val="1"/>
    <w:qFormat/>
    <w:uiPriority w:val="0"/>
    <w:pPr>
      <w:ind w:firstLine="480" w:firstLineChars="200"/>
    </w:pPr>
    <w:rPr>
      <w:rFonts w:cs="Times New Roman"/>
      <w:kern w:val="2"/>
      <w:sz w:val="24"/>
      <w:lang w:eastAsia="zh-CN"/>
    </w:rPr>
  </w:style>
  <w:style w:type="paragraph" w:customStyle="1" w:styleId="11">
    <w:name w:val="四号"/>
    <w:basedOn w:val="1"/>
    <w:autoRedefine/>
    <w:qFormat/>
    <w:uiPriority w:val="0"/>
    <w:pPr>
      <w:widowControl/>
      <w:adjustRightInd w:val="0"/>
      <w:snapToGrid w:val="0"/>
      <w:ind w:firstLine="480" w:firstLineChars="200"/>
    </w:pPr>
    <w:rPr>
      <w:rFonts w:cs="Times New Roman"/>
      <w:color w:val="000000" w:themeColor="text1"/>
      <w:kern w:val="2"/>
      <w:szCs w:val="24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1675</Words>
  <Characters>1880</Characters>
  <Lines>0</Lines>
  <Paragraphs>0</Paragraphs>
  <TotalTime>0</TotalTime>
  <ScaleCrop>false</ScaleCrop>
  <LinksUpToDate>false</LinksUpToDate>
  <CharactersWithSpaces>1922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2025-07-09T02:07:00Z</dcterms:created>
  <dc:creator>-.-</dc:creator>
  <cp:lastModifiedBy>木木</cp:lastModifiedBy>
  <dcterms:modified xsi:type="dcterms:W3CDTF">2025-07-10T07:31:27Z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eyJoZGlkIjoiN2YyMzBlNTA2YjE5ZDIxYzE0M2Y5Yzk5YTBhN2M1MjIiLCJ1c2VySWQiOiI5MjU1NTA0NDYifQ==</vt:lpwstr>
  </property>
  <property fmtid="{D5CDD505-2E9C-101B-9397-08002B2CF9AE}" pid="4" name="ICV">
    <vt:lpwstr>04E10A2B9A8E4B329C8E1475425C6596_12</vt:lpwstr>
  </property>
</Properties>
</file>