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8F3ED5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徐南上合堆场新增250kVA变压器工程、台北禧源水产养殖有限公司100KVA变压器安装工程采购变压器项目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bookmarkStart w:id="5" w:name="_GoBack"/>
      <w:r>
        <w:rPr>
          <w:rFonts w:hint="eastAsia" w:ascii="宋体" w:hAnsi="宋体" w:cs="宋体"/>
          <w:sz w:val="24"/>
          <w:u w:val="single"/>
        </w:rPr>
        <w:t>徐南上合堆场新增250kVA变压器工程、台北禧源水产养殖有限公司100KVA变压器安装工程采购变压器项目</w:t>
      </w:r>
      <w:bookmarkEnd w:id="5"/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35"/>
        <w:gridCol w:w="2538"/>
        <w:gridCol w:w="1275"/>
        <w:gridCol w:w="1012"/>
        <w:gridCol w:w="2494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S13-M-250kVA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7305E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10kV油浸电力变压器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S13-10/0.4kV-100kVA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26E54284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5FF1AE7"/>
    <w:rsid w:val="567F58DD"/>
    <w:rsid w:val="568E3C42"/>
    <w:rsid w:val="56922B21"/>
    <w:rsid w:val="56BF65F2"/>
    <w:rsid w:val="573B6C6D"/>
    <w:rsid w:val="57BB3291"/>
    <w:rsid w:val="5827645E"/>
    <w:rsid w:val="59993FE4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2906</Words>
  <Characters>3170</Characters>
  <Lines>0</Lines>
  <Paragraphs>0</Paragraphs>
  <TotalTime>19</TotalTime>
  <ScaleCrop>false</ScaleCrop>
  <LinksUpToDate>false</LinksUpToDate>
  <CharactersWithSpaces>3674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2025-04-27T08:58:42Z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