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6F2901">
      <w:pPr>
        <w:pStyle w:val="2"/>
        <w:numPr>
          <w:numId w:val="0"/>
        </w:numPr>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61871219"/>
      <w:bookmarkStart w:id="1" w:name="_Toc18353"/>
      <w:bookmarkStart w:id="2" w:name="_Toc328381676"/>
      <w:bookmarkStart w:id="3" w:name="_Toc317694228"/>
      <w:r>
        <w:rPr>
          <w:rFonts w:hint="eastAsia" w:asciiTheme="minorEastAsia" w:hAnsiTheme="minorEastAsia" w:eastAsiaTheme="minorEastAsia"/>
          <w:bCs w:val="0"/>
          <w:color w:val="000000" w:themeColor="text1"/>
          <w:sz w:val="36"/>
          <w:szCs w:val="24"/>
          <w14:textFill>
            <w14:solidFill>
              <w14:schemeClr w14:val="tx1"/>
            </w14:solidFill>
          </w14:textFill>
        </w:rPr>
        <w:t>台北连云区胜利湖生态公园及周边步道供输电工程采购环网柜及箱变项目招标公告</w:t>
      </w:r>
      <w:bookmarkEnd w:id="0"/>
      <w:bookmarkEnd w:id="1"/>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台北连云区胜利湖生态公园及周边步道供输电工程采购环网柜及箱变项目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物资-2025（内）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台北连云区胜利湖生态公园及周边步道供输电工程采购环网柜及箱变项目</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3.交货期：2025年05月15日之前到货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6360" w:type="pct"/>
        <w:tblInd w:w="-1106" w:type="dxa"/>
        <w:shd w:val="clear" w:color="auto" w:fill="auto"/>
        <w:tblLayout w:type="fixed"/>
        <w:tblCellMar>
          <w:top w:w="0" w:type="dxa"/>
          <w:left w:w="0" w:type="dxa"/>
          <w:bottom w:w="0" w:type="dxa"/>
          <w:right w:w="0" w:type="dxa"/>
        </w:tblCellMar>
      </w:tblPr>
      <w:tblGrid>
        <w:gridCol w:w="757"/>
        <w:gridCol w:w="787"/>
        <w:gridCol w:w="7075"/>
        <w:gridCol w:w="688"/>
        <w:gridCol w:w="650"/>
        <w:gridCol w:w="648"/>
      </w:tblGrid>
      <w:tr w14:paraId="73192749">
        <w:tblPrEx>
          <w:shd w:val="clear" w:color="auto" w:fill="auto"/>
          <w:tblCellMar>
            <w:top w:w="0" w:type="dxa"/>
            <w:left w:w="0" w:type="dxa"/>
            <w:bottom w:w="0" w:type="dxa"/>
            <w:right w:w="0" w:type="dxa"/>
          </w:tblCellMar>
        </w:tblPrEx>
        <w:trPr>
          <w:trHeight w:val="653" w:hRule="atLeast"/>
        </w:trPr>
        <w:tc>
          <w:tcPr>
            <w:tcW w:w="35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371"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333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32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30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3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tblCellMar>
            <w:top w:w="0" w:type="dxa"/>
            <w:left w:w="0" w:type="dxa"/>
            <w:bottom w:w="0" w:type="dxa"/>
            <w:right w:w="0" w:type="dxa"/>
          </w:tblCellMar>
        </w:tblPrEx>
        <w:trPr>
          <w:trHeight w:val="612" w:hRule="atLeast"/>
        </w:trPr>
        <w:tc>
          <w:tcPr>
            <w:tcW w:w="3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7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400KVA箱变</w:t>
            </w:r>
          </w:p>
        </w:tc>
        <w:tc>
          <w:tcPr>
            <w:tcW w:w="33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1、未尽事宜以《35KV及以下客户端变电所建设标准》为准。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2、低压柜选择GGD型低压开关柜,防护等级不低于IP30要求；电容补偿柜防护等级不低于IP23要求。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3、低压出线开关选择塑壳断路器:额定极限短路分断能力(Icu)不低于35kA,必须具备电气分闸功能,电气寿命达7000次以上。框架断路器:额定极限短路断能力(Icu)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不小于65kA,同时具有手动分闸功能；操作寿命(电气免维护)不小于6000次；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4、进出线低压断路器，应至少有一副空的辅助接点供负荷管理专用，若有位置继电器的空接点亦可代替，装设六档专用端子排组。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5、高压柜柜内应装设带电显示器，并具有"五防"功能；且高压柜（AH2)与变压器网门应实现闭锁，若带电打开变压器网门，则负荷开关应自动跳闸。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6、应采用智能型免维护无功补偿装置，具备自动过零投切，分相补偿等功能。采用微处理器的测量控制系统。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7、计量仓需满足规程规范要求，计量仓宽不应小于750mm,高不应小于600mm，且为不得安装其他与计量无关的装置，计量柜底层留安装负控空间。并便于铅封。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8、高、低压母排需加装绝缘相色护套。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9、变压器符合《电力变压器能效限定值及能效等级》GB20052-2020标准要求。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10、变压器室带强排风装置及温控装置。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11、箱变辅柜门需安装带电闭锁装置。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12.箱体外壳防护等级不低于IP43，采用2mm厚304不锈钢，喷塑国网绿。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内容详见图纸</w:t>
            </w:r>
          </w:p>
        </w:tc>
        <w:tc>
          <w:tcPr>
            <w:tcW w:w="3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1"/>
                <w:szCs w:val="21"/>
                <w:u w:val="none"/>
                <w:lang w:val="en-US" w:eastAsia="zh-CN" w:bidi="ar"/>
              </w:rPr>
            </w:pPr>
          </w:p>
        </w:tc>
      </w:tr>
      <w:tr w14:paraId="29B19555">
        <w:tblPrEx>
          <w:tblCellMar>
            <w:top w:w="0" w:type="dxa"/>
            <w:left w:w="0" w:type="dxa"/>
            <w:bottom w:w="0" w:type="dxa"/>
            <w:right w:w="0" w:type="dxa"/>
          </w:tblCellMar>
        </w:tblPrEx>
        <w:trPr>
          <w:trHeight w:val="612" w:hRule="atLeast"/>
        </w:trPr>
        <w:tc>
          <w:tcPr>
            <w:tcW w:w="3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1E74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37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5FE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10KV户外环网柜</w:t>
            </w:r>
          </w:p>
        </w:tc>
        <w:tc>
          <w:tcPr>
            <w:tcW w:w="33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5EB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一进三出，1.本方案采用气体绝缘负荷开关柜（共箱式）,负荷开关间隔给定宽度为400mm。本方案箱体按最大尺寸考虑。可根据工程实际情况，适当调整箱内开关柜尺寸。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2.箱体外壳防护等级不低于IP43，采用2mm厚304不锈钢，喷塑国网绿。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3.箱体外壳要求形成自下而上的空气对流，进风口需设在箱门板下端，并加装可拆卸式的防尘过滤网，顶盖坡度不少于3°排水倾角，排气通道设在外壳檐边下面。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4.箱体柜门应配置斜加强筋，并设限位拉钩定位装置。门锁为防水防盗型可加挂锁结构。</w:t>
            </w:r>
          </w:p>
        </w:tc>
        <w:tc>
          <w:tcPr>
            <w:tcW w:w="3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32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12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DB1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5EB578F">
      <w:pPr>
        <w:numPr>
          <w:ilvl w:val="0"/>
          <w:numId w:val="0"/>
        </w:numPr>
        <w:spacing w:line="240" w:lineRule="auto"/>
        <w:jc w:val="left"/>
        <w:rPr>
          <w:rFonts w:hint="default"/>
          <w:color w:val="333333"/>
          <w:sz w:val="24"/>
          <w:szCs w:val="24"/>
          <w:lang w:val="en-US" w:eastAsia="zh-CN"/>
        </w:rPr>
      </w:pPr>
      <w:r>
        <w:rPr>
          <w:rFonts w:hint="eastAsia" w:ascii="宋体" w:hAnsi="宋体" w:cs="宋体"/>
          <w:b/>
          <w:bCs/>
          <w:sz w:val="24"/>
          <w:lang w:val="en-US" w:eastAsia="zh-CN"/>
        </w:rPr>
        <w:t>1-2项报价须包含装卸费</w:t>
      </w:r>
    </w:p>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196620.00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2024-2025年内三个月税收【税款所属日期】和三个月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14:paraId="24D74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金额不低于15万元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125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14:paraId="531DF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2025年04月18日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04月24日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2025年04月28日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w:t>
      </w:r>
      <w:r>
        <w:rPr>
          <w:rFonts w:hint="eastAsia" w:cs="Times New Roman"/>
          <w:color w:val="333333"/>
          <w:kern w:val="2"/>
          <w:sz w:val="24"/>
          <w:szCs w:val="24"/>
          <w:lang w:val="en-US" w:eastAsia="zh-CN" w:bidi="ar-SA"/>
        </w:rPr>
        <w:t>合理低价</w:t>
      </w:r>
      <w:r>
        <w:rPr>
          <w:rFonts w:hint="eastAsia" w:ascii="Times New Roman" w:hAnsi="Times New Roman" w:eastAsia="宋体" w:cs="Times New Roman"/>
          <w:color w:val="333333"/>
          <w:kern w:val="2"/>
          <w:sz w:val="24"/>
          <w:szCs w:val="24"/>
          <w:lang w:val="en-US" w:eastAsia="zh-CN" w:bidi="ar-SA"/>
        </w:rPr>
        <w:t>法</w:t>
      </w:r>
      <w:r>
        <w:rPr>
          <w:rFonts w:hint="eastAsia" w:cs="Times New Roman"/>
          <w:color w:val="333333"/>
          <w:kern w:val="2"/>
          <w:sz w:val="24"/>
          <w:szCs w:val="24"/>
          <w:lang w:val="en-US" w:eastAsia="zh-CN" w:bidi="ar-SA"/>
        </w:rPr>
        <w:t>。</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叁仟元整</w:t>
      </w:r>
      <w:r>
        <w:rPr>
          <w:rFonts w:hint="eastAsia"/>
          <w:color w:val="333333"/>
          <w:sz w:val="24"/>
          <w:szCs w:val="24"/>
        </w:rPr>
        <w:t>（￥</w:t>
      </w:r>
      <w:r>
        <w:rPr>
          <w:rFonts w:hint="eastAsia"/>
          <w:color w:val="333333"/>
          <w:sz w:val="24"/>
          <w:szCs w:val="24"/>
          <w:lang w:val="en-US" w:eastAsia="zh-CN"/>
        </w:rPr>
        <w:t>3000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bookmarkStart w:id="4" w:name="_Toc22853"/>
      <w:bookmarkStart w:id="5" w:name="_Toc61871270"/>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6384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707C4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台北王先生           </w:t>
      </w:r>
    </w:p>
    <w:p w14:paraId="53F2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color w:val="333333"/>
          <w:sz w:val="24"/>
          <w:szCs w:val="24"/>
          <w:lang w:val="en-US" w:eastAsia="zh-CN"/>
        </w:rPr>
        <w:t>电话：13739120321</w:t>
      </w:r>
    </w:p>
    <w:p w14:paraId="5579F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14:paraId="72A59E86">
      <w:pPr>
        <w:keepNext w:val="0"/>
        <w:keepLines w:val="0"/>
        <w:pageBreakBefore w:val="0"/>
        <w:widowControl w:val="0"/>
        <w:kinsoku/>
        <w:wordWrap/>
        <w:overflowPunct/>
        <w:topLinePunct w:val="0"/>
        <w:autoSpaceDE/>
        <w:autoSpaceDN/>
        <w:bidi w:val="0"/>
        <w:adjustRightInd/>
        <w:snapToGrid/>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24B4D093">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eastAsia="zh-CN"/>
        </w:rPr>
      </w:pPr>
    </w:p>
    <w:p w14:paraId="6D1A0E81">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cs="仿宋" w:asciiTheme="minorEastAsia" w:hAnsiTheme="minorEastAsia" w:eastAsiaTheme="minorEastAsia"/>
          <w:bCs/>
          <w:snapToGrid w:val="0"/>
          <w:kern w:val="0"/>
          <w:szCs w:val="21"/>
        </w:rPr>
      </w:pPr>
      <w:bookmarkStart w:id="6" w:name="_GoBack"/>
      <w:bookmarkEnd w:id="6"/>
      <w:r>
        <w:rPr>
          <w:rFonts w:hint="eastAsia"/>
          <w:color w:val="333333"/>
          <w:sz w:val="24"/>
          <w:szCs w:val="24"/>
          <w:lang w:eastAsia="zh-CN"/>
        </w:rPr>
        <w:t>2025年04月18日</w:t>
      </w:r>
      <w:bookmarkEnd w:id="2"/>
      <w:bookmarkEnd w:id="3"/>
      <w:bookmarkEnd w:id="4"/>
      <w:bookmarkEnd w:id="5"/>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0BA">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2274">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32274">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D48A">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3B37404"/>
    <w:rsid w:val="0A283ED3"/>
    <w:rsid w:val="0EAB58A4"/>
    <w:rsid w:val="107161E2"/>
    <w:rsid w:val="10785AB5"/>
    <w:rsid w:val="108F6A5A"/>
    <w:rsid w:val="14712DAE"/>
    <w:rsid w:val="14890946"/>
    <w:rsid w:val="167C0FF6"/>
    <w:rsid w:val="1713774C"/>
    <w:rsid w:val="18117098"/>
    <w:rsid w:val="188E0403"/>
    <w:rsid w:val="19E93FD9"/>
    <w:rsid w:val="1A134258"/>
    <w:rsid w:val="1C186806"/>
    <w:rsid w:val="1D4F1A4B"/>
    <w:rsid w:val="1EF7364B"/>
    <w:rsid w:val="200872A5"/>
    <w:rsid w:val="20EF6CF8"/>
    <w:rsid w:val="241F1A4B"/>
    <w:rsid w:val="247003BE"/>
    <w:rsid w:val="2573204F"/>
    <w:rsid w:val="25BC1060"/>
    <w:rsid w:val="25CA1C53"/>
    <w:rsid w:val="26CB54E5"/>
    <w:rsid w:val="27634369"/>
    <w:rsid w:val="279E2283"/>
    <w:rsid w:val="28177B03"/>
    <w:rsid w:val="291C3E46"/>
    <w:rsid w:val="2AF10C3E"/>
    <w:rsid w:val="2D44673B"/>
    <w:rsid w:val="2FDB716E"/>
    <w:rsid w:val="32685190"/>
    <w:rsid w:val="32C837B1"/>
    <w:rsid w:val="334246FA"/>
    <w:rsid w:val="336739E2"/>
    <w:rsid w:val="33C915BF"/>
    <w:rsid w:val="34DE2ED9"/>
    <w:rsid w:val="35BF7503"/>
    <w:rsid w:val="37702FC5"/>
    <w:rsid w:val="38A85BDE"/>
    <w:rsid w:val="3A04480F"/>
    <w:rsid w:val="3A0A364A"/>
    <w:rsid w:val="41FD4D22"/>
    <w:rsid w:val="422B72A1"/>
    <w:rsid w:val="429A6B0D"/>
    <w:rsid w:val="42A70548"/>
    <w:rsid w:val="48783230"/>
    <w:rsid w:val="496E178C"/>
    <w:rsid w:val="4A08695A"/>
    <w:rsid w:val="4B4D1A26"/>
    <w:rsid w:val="4BB17561"/>
    <w:rsid w:val="4ECA1DC7"/>
    <w:rsid w:val="50E33C7D"/>
    <w:rsid w:val="50EB04FA"/>
    <w:rsid w:val="512F6EC2"/>
    <w:rsid w:val="51341102"/>
    <w:rsid w:val="51346287"/>
    <w:rsid w:val="54F93C3C"/>
    <w:rsid w:val="551E7BB0"/>
    <w:rsid w:val="578137DE"/>
    <w:rsid w:val="57945BE0"/>
    <w:rsid w:val="584377BF"/>
    <w:rsid w:val="599D71ED"/>
    <w:rsid w:val="5A4C4901"/>
    <w:rsid w:val="5AB20948"/>
    <w:rsid w:val="5BDB6604"/>
    <w:rsid w:val="5CC606DB"/>
    <w:rsid w:val="5D4E06D0"/>
    <w:rsid w:val="64CB02A7"/>
    <w:rsid w:val="65B62876"/>
    <w:rsid w:val="675F33D9"/>
    <w:rsid w:val="683C7AA3"/>
    <w:rsid w:val="690802CD"/>
    <w:rsid w:val="6E38652C"/>
    <w:rsid w:val="733F3BA1"/>
    <w:rsid w:val="746F26E3"/>
    <w:rsid w:val="74E75055"/>
    <w:rsid w:val="75C10104"/>
    <w:rsid w:val="75CF516A"/>
    <w:rsid w:val="76DD68F5"/>
    <w:rsid w:val="77652F76"/>
    <w:rsid w:val="77C04451"/>
    <w:rsid w:val="781030CC"/>
    <w:rsid w:val="794373B1"/>
    <w:rsid w:val="79BA4CCB"/>
    <w:rsid w:val="7AB826F4"/>
    <w:rsid w:val="7B65173F"/>
    <w:rsid w:val="7D6E474B"/>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autoRedefine/>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link w:val="127"/>
    <w:autoRedefine/>
    <w:unhideWhenUsed/>
    <w:qFormat/>
    <w:uiPriority w:val="0"/>
    <w:pPr>
      <w:spacing w:after="120"/>
      <w:ind w:left="420" w:leftChars="200"/>
    </w:pPr>
    <w:rPr>
      <w:kern w:val="0"/>
      <w:sz w:val="20"/>
      <w:szCs w:val="24"/>
    </w:rPr>
  </w:style>
  <w:style w:type="paragraph" w:styleId="19">
    <w:name w:val="List 2"/>
    <w:basedOn w:val="1"/>
    <w:autoRedefine/>
    <w:qFormat/>
    <w:uiPriority w:val="0"/>
    <w:pPr>
      <w:ind w:left="100" w:leftChars="200" w:hanging="200" w:hangingChars="200"/>
    </w:pPr>
    <w:rPr>
      <w:szCs w:val="24"/>
    </w:rPr>
  </w:style>
  <w:style w:type="paragraph" w:styleId="20">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autoRedefine/>
    <w:qFormat/>
    <w:uiPriority w:val="0"/>
    <w:pPr>
      <w:ind w:left="600" w:leftChars="600"/>
    </w:pPr>
    <w:rPr>
      <w:szCs w:val="24"/>
    </w:rPr>
  </w:style>
  <w:style w:type="paragraph" w:styleId="22">
    <w:name w:val="toc 3"/>
    <w:basedOn w:val="1"/>
    <w:next w:val="1"/>
    <w:autoRedefine/>
    <w:unhideWhenUsed/>
    <w:qFormat/>
    <w:uiPriority w:val="39"/>
    <w:pPr>
      <w:ind w:left="840" w:leftChars="400"/>
    </w:pPr>
  </w:style>
  <w:style w:type="paragraph" w:styleId="23">
    <w:name w:val="Plain Text"/>
    <w:basedOn w:val="1"/>
    <w:link w:val="76"/>
    <w:autoRedefine/>
    <w:unhideWhenUsed/>
    <w:qFormat/>
    <w:uiPriority w:val="0"/>
    <w:pPr>
      <w:spacing w:line="300" w:lineRule="auto"/>
    </w:pPr>
    <w:rPr>
      <w:rFonts w:ascii="宋体" w:hAnsi="Courier New"/>
    </w:rPr>
  </w:style>
  <w:style w:type="paragraph" w:styleId="24">
    <w:name w:val="toc 8"/>
    <w:basedOn w:val="1"/>
    <w:next w:val="1"/>
    <w:autoRedefine/>
    <w:qFormat/>
    <w:uiPriority w:val="0"/>
    <w:pPr>
      <w:ind w:left="2940" w:leftChars="1400"/>
    </w:pPr>
    <w:rPr>
      <w:rFonts w:ascii="Calibri" w:hAnsi="Calibri"/>
      <w:szCs w:val="22"/>
    </w:rPr>
  </w:style>
  <w:style w:type="paragraph" w:styleId="25">
    <w:name w:val="Date"/>
    <w:basedOn w:val="1"/>
    <w:next w:val="1"/>
    <w:link w:val="61"/>
    <w:autoRedefine/>
    <w:unhideWhenUsed/>
    <w:qFormat/>
    <w:uiPriority w:val="0"/>
    <w:pPr>
      <w:ind w:left="100" w:leftChars="2500"/>
    </w:pPr>
    <w:rPr>
      <w:szCs w:val="22"/>
    </w:rPr>
  </w:style>
  <w:style w:type="paragraph" w:styleId="26">
    <w:name w:val="Body Text Indent 2"/>
    <w:basedOn w:val="1"/>
    <w:link w:val="82"/>
    <w:autoRedefine/>
    <w:qFormat/>
    <w:uiPriority w:val="0"/>
    <w:pPr>
      <w:spacing w:after="120" w:line="480" w:lineRule="auto"/>
      <w:ind w:left="420" w:leftChars="200"/>
    </w:pPr>
    <w:rPr>
      <w:szCs w:val="24"/>
    </w:rPr>
  </w:style>
  <w:style w:type="paragraph" w:styleId="27">
    <w:name w:val="Balloon Text"/>
    <w:basedOn w:val="1"/>
    <w:link w:val="81"/>
    <w:autoRedefine/>
    <w:unhideWhenUsed/>
    <w:qFormat/>
    <w:uiPriority w:val="0"/>
    <w:rPr>
      <w:rFonts w:ascii="Calibri" w:hAnsi="Calibri"/>
      <w:kern w:val="0"/>
      <w:sz w:val="18"/>
      <w:szCs w:val="18"/>
    </w:rPr>
  </w:style>
  <w:style w:type="paragraph" w:styleId="28">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29">
    <w:name w:val="envelope return"/>
    <w:autoRedefine/>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5"/>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3"/>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7"/>
    <w:autoRedefine/>
    <w:qFormat/>
    <w:uiPriority w:val="0"/>
    <w:rPr>
      <w:rFonts w:ascii="Calibri" w:hAnsi="Calibri" w:eastAsia="宋体" w:cs="Times New Roman"/>
      <w:sz w:val="18"/>
      <w:szCs w:val="18"/>
    </w:rPr>
  </w:style>
  <w:style w:type="character" w:customStyle="1" w:styleId="82">
    <w:name w:val="正文文本缩进 2 Char"/>
    <w:link w:val="26"/>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8"/>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autoRedefine/>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autoRedefine/>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autoRedefine/>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autoRedefine/>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autoRedefine/>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autoRedefine/>
    <w:qFormat/>
    <w:uiPriority w:val="0"/>
    <w:rPr>
      <w:szCs w:val="24"/>
    </w:rPr>
  </w:style>
  <w:style w:type="paragraph" w:customStyle="1" w:styleId="196">
    <w:name w:val="CM47"/>
    <w:basedOn w:val="105"/>
    <w:next w:val="105"/>
    <w:autoRedefine/>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autoRedefine/>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autoRedefine/>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autoRedefine/>
    <w:qFormat/>
    <w:uiPriority w:val="0"/>
    <w:rPr>
      <w:sz w:val="24"/>
      <w:szCs w:val="24"/>
    </w:rPr>
  </w:style>
  <w:style w:type="paragraph" w:customStyle="1" w:styleId="204">
    <w:name w:val="CM101"/>
    <w:basedOn w:val="105"/>
    <w:next w:val="105"/>
    <w:autoRedefine/>
    <w:qFormat/>
    <w:uiPriority w:val="0"/>
    <w:pPr>
      <w:spacing w:after="800"/>
    </w:pPr>
    <w:rPr>
      <w:color w:val="auto"/>
    </w:rPr>
  </w:style>
  <w:style w:type="paragraph" w:customStyle="1" w:styleId="205">
    <w:name w:val="章标题"/>
    <w:basedOn w:val="1"/>
    <w:next w:val="1"/>
    <w:autoRedefine/>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autoRedefine/>
    <w:qFormat/>
    <w:uiPriority w:val="0"/>
    <w:pPr>
      <w:spacing w:beforeLines="50" w:afterLines="100"/>
      <w:jc w:val="center"/>
    </w:pPr>
  </w:style>
  <w:style w:type="paragraph" w:customStyle="1" w:styleId="210">
    <w:name w:val="列出段落2"/>
    <w:basedOn w:val="1"/>
    <w:autoRedefine/>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autoRedefine/>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autoRedefine/>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autoRedefine/>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autoRedefine/>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autoRedefine/>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autoRedefine/>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autoRedefine/>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autoRedefine/>
    <w:qFormat/>
    <w:uiPriority w:val="0"/>
    <w:pPr>
      <w:spacing w:line="400" w:lineRule="atLeast"/>
    </w:pPr>
    <w:rPr>
      <w:color w:val="auto"/>
    </w:rPr>
  </w:style>
  <w:style w:type="paragraph" w:customStyle="1" w:styleId="238">
    <w:name w:val="批注文字1"/>
    <w:basedOn w:val="1"/>
    <w:autoRedefine/>
    <w:unhideWhenUsed/>
    <w:qFormat/>
    <w:uiPriority w:val="0"/>
    <w:rPr>
      <w:sz w:val="20"/>
    </w:rPr>
  </w:style>
  <w:style w:type="paragraph" w:customStyle="1" w:styleId="239">
    <w:name w:val="xl32"/>
    <w:basedOn w:val="1"/>
    <w:autoRedefine/>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autoRedefine/>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autoRedefine/>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autoRedefine/>
    <w:qFormat/>
    <w:uiPriority w:val="0"/>
    <w:rPr>
      <w:rFonts w:ascii="Tahoma" w:hAnsi="Tahoma"/>
      <w:sz w:val="24"/>
      <w:szCs w:val="24"/>
    </w:rPr>
  </w:style>
  <w:style w:type="paragraph" w:customStyle="1" w:styleId="252">
    <w:name w:val="c_"/>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autoRedefine/>
    <w:qFormat/>
    <w:uiPriority w:val="0"/>
    <w:rPr>
      <w:color w:val="auto"/>
    </w:rPr>
  </w:style>
  <w:style w:type="paragraph" w:customStyle="1"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autoRedefine/>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autoRedefine/>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autoRedefine/>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autoRedefine/>
    <w:qFormat/>
    <w:uiPriority w:val="0"/>
    <w:pPr>
      <w:spacing w:after="160"/>
    </w:pPr>
    <w:rPr>
      <w:color w:val="auto"/>
    </w:rPr>
  </w:style>
  <w:style w:type="paragraph" w:customStyle="1" w:styleId="268">
    <w:name w:val="列表段落1"/>
    <w:basedOn w:val="1"/>
    <w:autoRedefine/>
    <w:qFormat/>
    <w:uiPriority w:val="0"/>
    <w:pPr>
      <w:ind w:firstLine="420" w:firstLineChars="200"/>
    </w:pPr>
  </w:style>
  <w:style w:type="paragraph" w:customStyle="1" w:styleId="269">
    <w:name w:val="图表五号"/>
    <w:basedOn w:val="1"/>
    <w:autoRedefine/>
    <w:qFormat/>
    <w:uiPriority w:val="0"/>
    <w:pPr>
      <w:autoSpaceDE w:val="0"/>
      <w:autoSpaceDN w:val="0"/>
      <w:adjustRightInd w:val="0"/>
      <w:snapToGrid w:val="0"/>
      <w:spacing w:line="20" w:lineRule="atLeast"/>
      <w:jc w:val="center"/>
    </w:pPr>
  </w:style>
  <w:style w:type="paragraph" w:customStyle="1" w:styleId="270">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autoRedefine/>
    <w:qFormat/>
    <w:uiPriority w:val="0"/>
    <w:pPr>
      <w:spacing w:line="360" w:lineRule="auto"/>
      <w:outlineLvl w:val="2"/>
    </w:pPr>
    <w:rPr>
      <w:rFonts w:hAnsi="宋体" w:cs="黑体"/>
      <w:b/>
      <w:color w:val="auto"/>
      <w:sz w:val="21"/>
      <w:szCs w:val="21"/>
    </w:rPr>
  </w:style>
  <w:style w:type="paragraph" w:customStyle="1" w:styleId="273">
    <w:name w:val="表头"/>
    <w:basedOn w:val="1"/>
    <w:autoRedefine/>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autoRedefine/>
    <w:qFormat/>
    <w:uiPriority w:val="0"/>
    <w:rPr>
      <w:color w:val="auto"/>
    </w:rPr>
  </w:style>
  <w:style w:type="paragraph" w:customStyle="1" w:styleId="275">
    <w:name w:val="标题2"/>
    <w:basedOn w:val="2"/>
    <w:autoRedefine/>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autoRedefine/>
    <w:qFormat/>
    <w:uiPriority w:val="0"/>
    <w:rPr>
      <w:rFonts w:ascii="Calibri" w:hAnsi="Calibri"/>
      <w:szCs w:val="24"/>
    </w:rPr>
  </w:style>
  <w:style w:type="paragraph" w:customStyle="1" w:styleId="277">
    <w:name w:val="样式 标题 3 + (中文) 黑体 小四 非加粗 段前: 7.8 磅 段后: 0 磅 行距: 固定值 20 磅"/>
    <w:basedOn w:val="4"/>
    <w:autoRedefine/>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autoRedefine/>
    <w:qFormat/>
    <w:uiPriority w:val="0"/>
    <w:pPr>
      <w:spacing w:line="400" w:lineRule="atLeast"/>
    </w:pPr>
    <w:rPr>
      <w:color w:val="auto"/>
    </w:rPr>
  </w:style>
  <w:style w:type="paragraph" w:customStyle="1" w:styleId="279">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autoRedefine/>
    <w:qFormat/>
    <w:uiPriority w:val="0"/>
    <w:pPr>
      <w:spacing w:after="628"/>
    </w:pPr>
    <w:rPr>
      <w:color w:val="auto"/>
    </w:rPr>
  </w:style>
  <w:style w:type="paragraph" w:customStyle="1" w:styleId="282">
    <w:name w:val="CM19"/>
    <w:basedOn w:val="105"/>
    <w:next w:val="105"/>
    <w:autoRedefine/>
    <w:qFormat/>
    <w:uiPriority w:val="0"/>
    <w:pPr>
      <w:spacing w:line="398" w:lineRule="atLeast"/>
    </w:pPr>
    <w:rPr>
      <w:color w:val="auto"/>
    </w:rPr>
  </w:style>
  <w:style w:type="paragraph" w:customStyle="1" w:styleId="283">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autoRedefine/>
    <w:qFormat/>
    <w:uiPriority w:val="0"/>
    <w:rPr>
      <w:b/>
    </w:rPr>
  </w:style>
  <w:style w:type="character" w:customStyle="1" w:styleId="285">
    <w:name w:val="t-exception-class-name"/>
    <w:basedOn w:val="48"/>
    <w:autoRedefine/>
    <w:qFormat/>
    <w:uiPriority w:val="0"/>
    <w:rPr>
      <w:b/>
      <w:color w:val="0000FF"/>
      <w:sz w:val="24"/>
      <w:szCs w:val="24"/>
      <w:shd w:val="clear" w:color="auto" w:fill="E1E1E1"/>
    </w:rPr>
  </w:style>
  <w:style w:type="character" w:customStyle="1" w:styleId="286">
    <w:name w:val="t-exception-stack-controls"/>
    <w:basedOn w:val="48"/>
    <w:autoRedefine/>
    <w:qFormat/>
    <w:uiPriority w:val="0"/>
  </w:style>
  <w:style w:type="character" w:customStyle="1" w:styleId="287">
    <w:name w:val="current"/>
    <w:basedOn w:val="48"/>
    <w:autoRedefine/>
    <w:qFormat/>
    <w:uiPriority w:val="0"/>
    <w:rPr>
      <w:color w:val="FFFFFF"/>
      <w:sz w:val="27"/>
      <w:szCs w:val="27"/>
      <w:u w:val="none"/>
      <w:bdr w:val="single" w:color="C0C0C0" w:sz="6" w:space="0"/>
      <w:shd w:val="clear" w:color="auto" w:fill="809FFF"/>
    </w:rPr>
  </w:style>
  <w:style w:type="character" w:customStyle="1" w:styleId="288">
    <w:name w:val="t-render-object-error"/>
    <w:basedOn w:val="48"/>
    <w:autoRedefine/>
    <w:qFormat/>
    <w:uiPriority w:val="0"/>
    <w:rPr>
      <w:b/>
      <w:i/>
      <w:color w:val="FF0000"/>
    </w:rPr>
  </w:style>
  <w:style w:type="character" w:customStyle="1" w:styleId="289">
    <w:name w:val="t-tree-expanded"/>
    <w:basedOn w:val="48"/>
    <w:autoRedefine/>
    <w:qFormat/>
    <w:uiPriority w:val="0"/>
  </w:style>
  <w:style w:type="character" w:customStyle="1" w:styleId="290">
    <w:name w:val="t-ajax-wait"/>
    <w:basedOn w:val="48"/>
    <w:autoRedefine/>
    <w:qFormat/>
    <w:uiPriority w:val="0"/>
  </w:style>
  <w:style w:type="character" w:customStyle="1" w:styleId="291">
    <w:name w:val="hover13"/>
    <w:basedOn w:val="48"/>
    <w:autoRedefine/>
    <w:qFormat/>
    <w:uiPriority w:val="0"/>
    <w:rPr>
      <w:color w:val="FFFFFF"/>
      <w:shd w:val="clear" w:color="auto" w:fill="00C1B3"/>
    </w:rPr>
  </w:style>
  <w:style w:type="character" w:customStyle="1" w:styleId="292">
    <w:name w:val="hover14"/>
    <w:basedOn w:val="48"/>
    <w:autoRedefine/>
    <w:qFormat/>
    <w:uiPriority w:val="0"/>
    <w:rPr>
      <w:color w:val="FFFFFF"/>
      <w:shd w:val="clear" w:color="auto" w:fill="00C1B3"/>
    </w:rPr>
  </w:style>
  <w:style w:type="character" w:customStyle="1" w:styleId="293">
    <w:name w:val="hover15"/>
    <w:basedOn w:val="48"/>
    <w:autoRedefine/>
    <w:qFormat/>
    <w:uiPriority w:val="0"/>
    <w:rPr>
      <w:sz w:val="21"/>
      <w:szCs w:val="21"/>
    </w:rPr>
  </w:style>
  <w:style w:type="paragraph" w:customStyle="1" w:styleId="294">
    <w:name w:val="正文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autoRedefine/>
    <w:qFormat/>
    <w:uiPriority w:val="0"/>
    <w:pPr>
      <w:ind w:firstLine="420" w:firstLineChars="200"/>
    </w:pPr>
    <w:rPr>
      <w:rFonts w:ascii="Calibri" w:hAnsi="Calibri"/>
      <w:szCs w:val="22"/>
    </w:rPr>
  </w:style>
  <w:style w:type="paragraph" w:customStyle="1" w:styleId="297">
    <w:name w:val="TOC 标题2"/>
    <w:basedOn w:val="2"/>
    <w:next w:val="1"/>
    <w:autoRedefine/>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autoRedefine/>
    <w:qFormat/>
    <w:uiPriority w:val="0"/>
    <w:rPr>
      <w:rFonts w:hint="default" w:ascii="Times New Roman" w:hAnsi="Times New Roman" w:cs="Times New Roman"/>
      <w:color w:val="333333"/>
      <w:sz w:val="20"/>
      <w:szCs w:val="20"/>
      <w:u w:val="none"/>
    </w:rPr>
  </w:style>
  <w:style w:type="paragraph" w:customStyle="1" w:styleId="299">
    <w:name w:val="Table Text"/>
    <w:basedOn w:val="1"/>
    <w:autoRedefine/>
    <w:semiHidden/>
    <w:qFormat/>
    <w:uiPriority w:val="0"/>
    <w:rPr>
      <w:rFonts w:ascii="宋体" w:hAnsi="宋体" w:eastAsia="宋体" w:cs="宋体"/>
      <w:sz w:val="19"/>
      <w:szCs w:val="19"/>
      <w:lang w:val="en-US" w:eastAsia="en-US" w:bidi="ar-SA"/>
    </w:rPr>
  </w:style>
  <w:style w:type="table" w:customStyle="1" w:styleId="300">
    <w:name w:val="Table Normal"/>
    <w:autoRedefine/>
    <w:unhideWhenUsed/>
    <w:qFormat/>
    <w:uiPriority w:val="0"/>
    <w:tblPr>
      <w:tblCellMar>
        <w:top w:w="0" w:type="dxa"/>
        <w:left w:w="0" w:type="dxa"/>
        <w:bottom w:w="0" w:type="dxa"/>
        <w:right w:w="0" w:type="dxa"/>
      </w:tblCellMar>
    </w:tblPr>
  </w:style>
  <w:style w:type="character" w:customStyle="1" w:styleId="301">
    <w:name w:val="font21"/>
    <w:basedOn w:val="48"/>
    <w:autoRedefine/>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10011</Words>
  <Characters>11102</Characters>
  <Lines>25</Lines>
  <Paragraphs>23</Paragraphs>
  <TotalTime>6</TotalTime>
  <ScaleCrop>false</ScaleCrop>
  <LinksUpToDate>false</LinksUpToDate>
  <CharactersWithSpaces>12166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2025-04-18T09:22:57Z</cp:lastPrinted>
  <dcterms:modified xsi:type="dcterms:W3CDTF">2025-04-18T09:29:19Z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C7650B94A2334F4880A5A2C12758D8E4_13</vt:lpwstr>
  </property>
</Properties>
</file>