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070F022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徐南徐圩港区3#煤仓周边地块开发建设项目采购电杆项目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bookmarkStart w:id="5" w:name="_GoBack"/>
      <w:r>
        <w:rPr>
          <w:rFonts w:hint="eastAsia" w:ascii="宋体" w:hAnsi="宋体" w:cs="宋体"/>
          <w:sz w:val="24"/>
          <w:u w:val="single"/>
        </w:rPr>
        <w:t>徐南徐圩港区3#煤仓周边地块开发建设项目采购电杆项目</w:t>
      </w:r>
      <w:bookmarkEnd w:id="5"/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8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860"/>
        <w:gridCol w:w="2750"/>
        <w:gridCol w:w="938"/>
        <w:gridCol w:w="1055"/>
        <w:gridCol w:w="1751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15米非预应力混凝土电杆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φ190-M-15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  <w:tr w14:paraId="0C9A0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C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2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12米非预应力混凝土电杆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F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φ190-M-12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2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5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3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35900.00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电话：19901572108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2734871"/>
      <w:bookmarkStart w:id="3" w:name="_Toc61871288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ABF617D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6261C69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8C67DB1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4923CAD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2864</Words>
  <Characters>3126</Characters>
  <Lines>0</Lines>
  <Paragraphs>0</Paragraphs>
  <TotalTime>2</TotalTime>
  <ScaleCrop>false</ScaleCrop>
  <LinksUpToDate>false</LinksUpToDate>
  <CharactersWithSpaces>3638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2025-04-14T10:36:10Z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