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126A9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041AC2F4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35kV 变电所开关柜更新项目设计</w:t>
      </w:r>
    </w:p>
    <w:p w14:paraId="36B1CCD0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16CC6F18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shd w:val="clear" w:color="auto" w:fill="FFFFFF"/>
        </w:rPr>
        <w:t>35kV 变电所开关柜更新项目设计</w:t>
      </w:r>
      <w:r>
        <w:rPr>
          <w:rFonts w:hint="eastAsia" w:ascii="宋体" w:hAnsi="宋体" w:cs="宋体"/>
          <w:sz w:val="24"/>
          <w:u w:val="single"/>
          <w:shd w:val="clear" w:color="auto" w:fill="FFFFFF"/>
          <w:lang w:val="en-US" w:eastAsia="zh-CN"/>
        </w:rPr>
        <w:t>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询价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具体内容如下：</w:t>
      </w:r>
    </w:p>
    <w:p w14:paraId="17668302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874" w:type="dxa"/>
        <w:tblInd w:w="-598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50"/>
        <w:gridCol w:w="5169"/>
        <w:gridCol w:w="554"/>
        <w:gridCol w:w="531"/>
        <w:gridCol w:w="2120"/>
      </w:tblGrid>
      <w:tr w14:paraId="41C96F7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9BBE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35kV变电所开关柜更新项目</w:t>
            </w: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E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将原变电所47台10kV固定式开关柜，更新为53台KY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N-28中置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柜</w:t>
            </w:r>
            <w:r>
              <w:rPr>
                <w:rFonts w:ascii="宋体" w:hAnsi="宋体" w:eastAsia="宋体" w:cs="宋体"/>
                <w:spacing w:val="-4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pacing w:val="-3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3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设计单位：</w:t>
            </w:r>
          </w:p>
          <w:p w14:paraId="5BE54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1、设计内容为暂定，中  标单位需根据业主最终要 求及现场实际情况设计，设计费不予调整；</w:t>
            </w:r>
          </w:p>
          <w:p w14:paraId="1FDED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2、需协助项目单位确定物资采购计划：</w:t>
            </w:r>
          </w:p>
          <w:p w14:paraId="27E89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3、需安排设计人员指导项目实施：</w:t>
            </w:r>
          </w:p>
          <w:p w14:paraId="4E5DF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4、工程完工后需根据现场实际绘制竣工图。</w:t>
            </w:r>
          </w:p>
        </w:tc>
      </w:tr>
      <w:tr w14:paraId="56245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F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7" w:lineRule="auto"/>
              <w:ind w:left="0" w:right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一、灌西变电所：</w:t>
            </w:r>
          </w:p>
          <w:p w14:paraId="40611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3" w:lineRule="auto"/>
              <w:ind w:left="0" w:right="0" w:firstLine="3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1、2台35kV主变低压侧至10kV开关室进线柜间连接铜排(含支架、穿墙套管等)改造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</w:p>
          <w:p w14:paraId="41D42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2、10kV开关室19台(原17台)高压开关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柜(含土建基础</w:t>
            </w:r>
            <w:r>
              <w:rPr>
                <w:rFonts w:hint="eastAsia" w:ascii="宋体" w:hAnsi="宋体" w:cs="宋体"/>
                <w:spacing w:val="-3"/>
                <w:sz w:val="18"/>
                <w:szCs w:val="1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改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造</w:t>
            </w:r>
            <w:r>
              <w:rPr>
                <w:rFonts w:hint="eastAsia" w:ascii="宋体" w:hAnsi="宋体" w:cs="宋体"/>
                <w:spacing w:val="-3"/>
                <w:sz w:val="18"/>
                <w:szCs w:val="18"/>
                <w:lang w:eastAsia="zh-CN"/>
              </w:rPr>
              <w:t>；</w:t>
            </w:r>
          </w:p>
          <w:p w14:paraId="3FC8C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3、10kV出线柜至室外10kV架空线路1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#杆出线(含土建基础</w:t>
            </w:r>
            <w:r>
              <w:rPr>
                <w:rFonts w:ascii="宋体" w:hAnsi="宋体" w:eastAsia="宋体" w:cs="宋体"/>
                <w:sz w:val="18"/>
                <w:szCs w:val="18"/>
              </w:rPr>
              <w:t>等)改造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</w:p>
          <w:p w14:paraId="33F2C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4、原有线路保护利旧，保护装置现统一设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置在控制室</w:t>
            </w:r>
            <w:r>
              <w:rPr>
                <w:rFonts w:hint="eastAsia" w:ascii="宋体" w:hAnsi="宋体" w:cs="宋体"/>
                <w:spacing w:val="2"/>
                <w:sz w:val="18"/>
                <w:szCs w:val="18"/>
                <w:lang w:eastAsia="zh-CN"/>
              </w:rPr>
              <w:t>；</w:t>
            </w:r>
          </w:p>
          <w:p w14:paraId="521C5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5、以上设计含改造前后相关图纸。</w:t>
            </w:r>
          </w:p>
        </w:tc>
        <w:tc>
          <w:tcPr>
            <w:tcW w:w="5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A273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2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二、封跳变电所：</w:t>
            </w:r>
          </w:p>
          <w:p w14:paraId="4FF72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 w:firstLine="9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1、2台35kV主变低压侧至10kV开关室进线柜间连接电缆(含土建等)改造</w:t>
            </w:r>
            <w:r>
              <w:rPr>
                <w:rFonts w:hint="eastAsia" w:ascii="宋体" w:hAnsi="宋体" w:cs="宋体"/>
                <w:spacing w:val="-1"/>
                <w:sz w:val="18"/>
                <w:szCs w:val="18"/>
                <w:lang w:eastAsia="zh-CN"/>
              </w:rPr>
              <w:t>；</w:t>
            </w:r>
          </w:p>
          <w:p w14:paraId="5EC44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2、10kV开关室17台(原15台)高压开关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柜(含土建基础)改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造</w:t>
            </w:r>
            <w:r>
              <w:rPr>
                <w:rFonts w:hint="eastAsia" w:ascii="宋体" w:hAnsi="宋体" w:cs="宋体"/>
                <w:spacing w:val="-3"/>
                <w:sz w:val="18"/>
                <w:szCs w:val="18"/>
                <w:lang w:eastAsia="zh-CN"/>
              </w:rPr>
              <w:t>；</w:t>
            </w:r>
          </w:p>
          <w:p w14:paraId="00151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3、10kV出线柜至室外10kV架空线路1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#杆出线(含土建基础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等)改造；</w:t>
            </w:r>
          </w:p>
          <w:p w14:paraId="37F88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4、原有线路保护利旧，保护装置现设置在开关柜上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</w:p>
          <w:p w14:paraId="1E193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5、以上设计含改造前后相关图纸。</w:t>
            </w:r>
          </w:p>
        </w:tc>
        <w:tc>
          <w:tcPr>
            <w:tcW w:w="5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1ED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4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三、青口变电所：</w:t>
            </w:r>
          </w:p>
          <w:p w14:paraId="4766D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3" w:lineRule="auto"/>
              <w:ind w:left="0" w:right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1、2台35kV主变低压侧至10kV开关室进线柜间连接电缆(含土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建等)改造；</w:t>
            </w:r>
          </w:p>
          <w:p w14:paraId="6873E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4" w:lineRule="auto"/>
              <w:ind w:left="0" w:right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2、10kV开关室17台(原15台)高压开关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柜(含土建基础)改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造；</w:t>
            </w:r>
          </w:p>
          <w:p w14:paraId="33A20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3、10kV出线柜至室外10kV架空线路1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#杆出线(含土建基础</w:t>
            </w:r>
            <w:r>
              <w:rPr>
                <w:rFonts w:ascii="宋体" w:hAnsi="宋体" w:eastAsia="宋体" w:cs="宋体"/>
                <w:sz w:val="18"/>
                <w:szCs w:val="18"/>
              </w:rPr>
              <w:t>等)改造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</w:p>
          <w:p w14:paraId="369E3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lef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4、原有线路保护利旧，保护装置现设置在开关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柜上；</w:t>
            </w:r>
          </w:p>
          <w:p w14:paraId="77BE0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5、以上设计含改造前后相关图纸。</w:t>
            </w:r>
          </w:p>
        </w:tc>
        <w:tc>
          <w:tcPr>
            <w:tcW w:w="5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3FE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F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四、负荷转移</w:t>
            </w:r>
            <w:r>
              <w:rPr>
                <w:rFonts w:hint="eastAsia" w:ascii="宋体" w:hAnsi="宋体" w:cs="宋体"/>
                <w:spacing w:val="-1"/>
                <w:sz w:val="18"/>
                <w:szCs w:val="18"/>
                <w:lang w:eastAsia="zh-CN"/>
              </w:rPr>
              <w:t>：</w:t>
            </w:r>
          </w:p>
          <w:p w14:paraId="12643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1、2台一进四出临时环网柜(含基础)及线路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连接电缆设计。</w:t>
            </w:r>
          </w:p>
        </w:tc>
        <w:tc>
          <w:tcPr>
            <w:tcW w:w="5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0E769A9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6BA7016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  <w:t>报价前须与项目负责人沟通，详细了解项目情况，</w:t>
      </w: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价包括技术资料（含软件资料）和技术配合、技术服务、增值税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6%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及其他相关税费等费用（如果国家政策有变动，依据国家最新政策变动）。</w:t>
      </w:r>
    </w:p>
    <w:p w14:paraId="47632828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日内</w:t>
      </w:r>
      <w:r>
        <w:rPr>
          <w:rFonts w:hint="eastAsia" w:ascii="宋体" w:hAnsi="宋体" w:cs="宋体"/>
          <w:sz w:val="24"/>
          <w:highlight w:val="yellow"/>
          <w:lang w:eastAsia="zh-CN"/>
        </w:rPr>
        <w:t>完成图纸设计（图纸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3份，电子档U盘拷贝一份</w:t>
      </w:r>
      <w:r>
        <w:rPr>
          <w:rFonts w:hint="eastAsia" w:ascii="宋体" w:hAnsi="宋体" w:cs="宋体"/>
          <w:sz w:val="24"/>
          <w:highlight w:val="yellow"/>
          <w:lang w:eastAsia="zh-CN"/>
        </w:rPr>
        <w:t>），并经甲方技术部门审核通过</w:t>
      </w:r>
      <w:r>
        <w:rPr>
          <w:rFonts w:hint="eastAsia" w:ascii="宋体" w:hAnsi="宋体" w:cs="宋体"/>
          <w:sz w:val="24"/>
        </w:rPr>
        <w:t>。</w:t>
      </w:r>
    </w:p>
    <w:p w14:paraId="27B728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55249BB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535001E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03E643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9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0D734EE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48F31CE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人资格要求：</w:t>
      </w:r>
    </w:p>
    <w:p w14:paraId="2FCAB45B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人须为中华人民共和国境内注册的独立法人单位，具备履行合同的能力；三年内（企业及企业法人）无不良信誉记录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5935989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人处于正常的生产经营状态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3D6C4BE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本项目不接受联合体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人必须整包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；</w:t>
      </w:r>
    </w:p>
    <w:p w14:paraId="621DCF2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人。</w:t>
      </w:r>
    </w:p>
    <w:p w14:paraId="70CEA60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七</w:t>
      </w:r>
      <w:r>
        <w:rPr>
          <w:rFonts w:hint="eastAsia" w:ascii="宋体" w:hAnsi="宋体" w:cs="宋体"/>
          <w:sz w:val="24"/>
        </w:rPr>
        <w:t>、评标办法：经评审的最低价法。</w:t>
      </w:r>
    </w:p>
    <w:p w14:paraId="25BA809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预算价：</w:t>
      </w:r>
      <w:r>
        <w:rPr>
          <w:rFonts w:hint="eastAsia" w:ascii="宋体" w:hAnsi="宋体" w:cs="宋体"/>
          <w:sz w:val="24"/>
          <w:lang w:val="en-US" w:eastAsia="zh-CN"/>
        </w:rPr>
        <w:t>100000.00元（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4FFE6FF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7FB9469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6584A42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、存在下列行为之一的，将其列入不良行为记录名单,三年内不得参加集团公司物资采购活动：</w:t>
      </w:r>
    </w:p>
    <w:p w14:paraId="6CDC775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6041BCD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138F9AB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确定为供应单位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B40D4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6DC8BFA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049DF00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乙方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甲方</w:t>
      </w:r>
      <w:r>
        <w:rPr>
          <w:rFonts w:hint="eastAsia" w:ascii="宋体" w:hAnsi="宋体" w:cs="宋体"/>
          <w:sz w:val="24"/>
        </w:rPr>
        <w:t>提供真实、有效、合法的增值税专用发票，图纸经甲方审核</w:t>
      </w:r>
      <w:r>
        <w:rPr>
          <w:rFonts w:hint="eastAsia" w:ascii="宋体" w:hAnsi="宋体" w:cs="宋体"/>
          <w:sz w:val="24"/>
          <w:lang w:eastAsia="zh-CN"/>
        </w:rPr>
        <w:t>及</w:t>
      </w:r>
      <w:r>
        <w:rPr>
          <w:rFonts w:hint="eastAsia" w:ascii="宋体" w:hAnsi="宋体" w:cs="宋体"/>
          <w:sz w:val="24"/>
        </w:rPr>
        <w:t>通过</w:t>
      </w:r>
      <w:r>
        <w:rPr>
          <w:rFonts w:ascii="宋体" w:hAnsi="宋体" w:eastAsia="宋体" w:cs="宋体"/>
          <w:sz w:val="24"/>
          <w:szCs w:val="24"/>
        </w:rPr>
        <w:t>行政审批</w:t>
      </w:r>
      <w:r>
        <w:rPr>
          <w:rFonts w:hint="eastAsia" w:ascii="宋体" w:hAnsi="宋体" w:cs="宋体"/>
          <w:sz w:val="24"/>
        </w:rPr>
        <w:t>后再付至合同总价款的90%，剩余10％款额待质保期（一年）满后壹个月内结清（无息）。</w:t>
      </w:r>
    </w:p>
    <w:p w14:paraId="1D58C285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257B030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683D566B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09B9067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人：许先生          电话：18115867321</w:t>
      </w:r>
    </w:p>
    <w:p w14:paraId="77D595AF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 xml:space="preserve"> </w:t>
      </w:r>
    </w:p>
    <w:p w14:paraId="5E2CBEB6"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4"/>
        </w:rPr>
        <w:t>连云港工业投资集团供电工程分公司</w:t>
      </w:r>
    </w:p>
    <w:p w14:paraId="30DD16B3"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03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03</w:t>
      </w:r>
      <w:r>
        <w:rPr>
          <w:rFonts w:hint="eastAsia" w:ascii="宋体" w:hAnsi="宋体" w:cs="宋体"/>
          <w:sz w:val="24"/>
        </w:rPr>
        <w:t>日</w:t>
      </w:r>
    </w:p>
    <w:p w14:paraId="6A1A6D1E">
      <w:pPr>
        <w:spacing w:line="360" w:lineRule="auto"/>
        <w:ind w:right="560" w:firstLine="480" w:firstLineChars="200"/>
        <w:jc w:val="center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 w14:paraId="6F8A04D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CEA7D2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C7B716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A3DB02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B4AB1F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D2289E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B3BF20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305D9C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5EDCAA7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30FDF5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34B806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A648F4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47B98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396EC85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46B4953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BC949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4BBC15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6C0AC2E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6F5199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依法缴纳税收的记录（2024年三个月【税收所属日期】）（加盖公章）</w:t>
      </w:r>
    </w:p>
    <w:p w14:paraId="60705C1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4892649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54AC26E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12BCFB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8D86EB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EEE21E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1C5A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A2F7D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D8477B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9F46C5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AC9BA3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655A6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EAE1DD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23815E65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3A1F0E14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0134F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D1FEC0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A5755BC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2EB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27B6336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61ED8950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4FE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26A9410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03F0F69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C0D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76F85D8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FC6C0B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47BE86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DF5880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179EF06B"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B051C92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0B498A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F334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964178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013C84F2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289FF4E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3DC32F4C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7376"/>
      <w:bookmarkStart w:id="2" w:name="_Toc61871372"/>
      <w:bookmarkStart w:id="3" w:name="_Toc61871288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D792E9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25381D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468C5B6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1C9B1B23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 w14:paraId="3882A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1610015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39D6F2E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216B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43D8E2B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5075AA96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229C40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3D2A985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7F51AFCA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2824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38F6772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750F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2025D39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69DCB9F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A98ED9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2C63A5F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2C79F9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74FA5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32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B9A3C0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326ED40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174BAD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7201C0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11E6437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34F54D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6F207A9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76562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BC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22706E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31BBDDA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89E77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12E56F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E3832F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044F2B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D78AFE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AEF78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4F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C538FC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AA5BFC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3E4C8E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C198E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ABE0D9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787563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67B2073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7EDE591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95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2E0E7225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C4020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88C87A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53DD7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FA69AA0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52BC60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769DAB23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16E126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AB9F9D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0EAD78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8C9EF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46FDA9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E9FC18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B8DDD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5BB243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44F95B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9D3544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680E19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74B50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40B24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461C15B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0CFED069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2DCCBB7D">
      <w:pPr>
        <w:bidi w:val="0"/>
        <w:jc w:val="center"/>
        <w:rPr>
          <w:b/>
          <w:sz w:val="36"/>
        </w:rPr>
      </w:pPr>
    </w:p>
    <w:p w14:paraId="074DB096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B11B897">
      <w:pPr>
        <w:bidi w:val="0"/>
        <w:spacing w:line="440" w:lineRule="exact"/>
        <w:ind w:firstLine="610"/>
        <w:rPr>
          <w:sz w:val="24"/>
        </w:rPr>
      </w:pPr>
    </w:p>
    <w:p w14:paraId="7587AFB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2C75828">
      <w:pPr>
        <w:bidi w:val="0"/>
        <w:spacing w:line="440" w:lineRule="exact"/>
        <w:ind w:firstLine="610"/>
        <w:rPr>
          <w:sz w:val="24"/>
        </w:rPr>
      </w:pPr>
    </w:p>
    <w:p w14:paraId="68B30DFE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14C4A0AC">
      <w:pPr>
        <w:bidi w:val="0"/>
        <w:spacing w:line="440" w:lineRule="exact"/>
        <w:ind w:firstLine="610"/>
        <w:rPr>
          <w:sz w:val="24"/>
        </w:rPr>
      </w:pPr>
    </w:p>
    <w:p w14:paraId="6F6064E9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8CBBBC9">
      <w:pPr>
        <w:bidi w:val="0"/>
        <w:spacing w:line="440" w:lineRule="exact"/>
        <w:ind w:firstLine="610"/>
        <w:rPr>
          <w:sz w:val="24"/>
        </w:rPr>
      </w:pPr>
    </w:p>
    <w:p w14:paraId="79390DD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5BC8D92F">
      <w:pPr>
        <w:bidi w:val="0"/>
        <w:spacing w:line="440" w:lineRule="exact"/>
        <w:ind w:firstLine="610"/>
        <w:rPr>
          <w:sz w:val="24"/>
        </w:rPr>
      </w:pPr>
    </w:p>
    <w:p w14:paraId="7A9DCFC8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39B6F59">
      <w:pPr>
        <w:bidi w:val="0"/>
        <w:spacing w:line="440" w:lineRule="exact"/>
        <w:ind w:firstLine="610"/>
        <w:rPr>
          <w:sz w:val="24"/>
        </w:rPr>
      </w:pPr>
    </w:p>
    <w:p w14:paraId="7FCE78A5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4C48D6B9">
      <w:pPr>
        <w:bidi w:val="0"/>
        <w:spacing w:line="440" w:lineRule="exact"/>
        <w:ind w:firstLine="610"/>
        <w:rPr>
          <w:sz w:val="24"/>
        </w:rPr>
      </w:pPr>
    </w:p>
    <w:p w14:paraId="2314EF55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7A4672C4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02F69F9A">
      <w:pPr>
        <w:bidi w:val="0"/>
        <w:spacing w:line="440" w:lineRule="exact"/>
        <w:rPr>
          <w:rFonts w:hint="eastAsia"/>
          <w:sz w:val="24"/>
        </w:rPr>
      </w:pPr>
    </w:p>
    <w:p w14:paraId="5E490FF3">
      <w:pPr>
        <w:bidi w:val="0"/>
        <w:spacing w:line="440" w:lineRule="exact"/>
        <w:rPr>
          <w:rFonts w:hint="eastAsia"/>
          <w:sz w:val="24"/>
        </w:rPr>
      </w:pPr>
    </w:p>
    <w:p w14:paraId="3F808352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03F29AA7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BD071FD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2AD5B76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5E899581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60A937B5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78DF1B9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0487D5A9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2161A159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24A9822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34E8E995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27EEBD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BC377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84401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323366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DCD061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47A2BD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E6D9F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2093615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4A38E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69A6FD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08AB6D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38A9748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51267F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0FFA798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5B7F0CE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76119C0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1D6DC23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8C4BA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711DC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291C9B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46BDCA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3F85AF7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5005AB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D0D6ED5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6C6E45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24699D4C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AF51A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依法缴纳税收的记录（2024年三个月【税收所属日期】）（加盖公章）</w:t>
      </w:r>
    </w:p>
    <w:p w14:paraId="37E95556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35642E31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EF21A9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974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1E7974F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A19255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4AA19255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321A4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1EAB83A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56D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71F56D1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893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1CA893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3276F"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3BB355D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267C8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02294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bookmarkStart w:id="5" w:name="_GoBack"/>
      <w:bookmarkEnd w:id="5"/>
      <w:r>
        <w:rPr>
          <w:rFonts w:hint="eastAsia" w:asciiTheme="minorEastAsia" w:hAnsiTheme="minorEastAsia" w:eastAsiaTheme="minorEastAsia"/>
          <w:sz w:val="24"/>
          <w:szCs w:val="24"/>
        </w:rPr>
        <w:t>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2A3BE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35C87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B39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0E1CD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6069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66ED2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85F9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355A7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798D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7F669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4E7A1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2D375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FAF2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640148F1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0CEF1AE2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03C118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6E8767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</w:rPr>
        <w:t>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98716DA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4E2F2A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02EA09C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7D5862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63E1D76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F1EE474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A3D8C4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77B921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4D966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5C734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55E68C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70365BF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F93A1C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CE9481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3BBB5"/>
    <w:multiLevelType w:val="singleLevel"/>
    <w:tmpl w:val="84B3B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818DE"/>
    <w:rsid w:val="006A29D7"/>
    <w:rsid w:val="008047AF"/>
    <w:rsid w:val="00B0645E"/>
    <w:rsid w:val="00CD43A5"/>
    <w:rsid w:val="00D03040"/>
    <w:rsid w:val="00E17D4F"/>
    <w:rsid w:val="00F54931"/>
    <w:rsid w:val="00F97337"/>
    <w:rsid w:val="00FE00ED"/>
    <w:rsid w:val="021E542C"/>
    <w:rsid w:val="030D6BA4"/>
    <w:rsid w:val="037F6D72"/>
    <w:rsid w:val="03A56FE3"/>
    <w:rsid w:val="04964401"/>
    <w:rsid w:val="05C0111B"/>
    <w:rsid w:val="080A06A7"/>
    <w:rsid w:val="09CD45A7"/>
    <w:rsid w:val="0B8B296C"/>
    <w:rsid w:val="0C556F13"/>
    <w:rsid w:val="0C7E65A6"/>
    <w:rsid w:val="0CC70B51"/>
    <w:rsid w:val="0DD531C5"/>
    <w:rsid w:val="0DFC41A5"/>
    <w:rsid w:val="0E6A08A6"/>
    <w:rsid w:val="0EDC4DEA"/>
    <w:rsid w:val="0FBC0CD2"/>
    <w:rsid w:val="0FD920CE"/>
    <w:rsid w:val="10685553"/>
    <w:rsid w:val="107D77B2"/>
    <w:rsid w:val="10CD6BA4"/>
    <w:rsid w:val="11884284"/>
    <w:rsid w:val="12960FB7"/>
    <w:rsid w:val="137F5319"/>
    <w:rsid w:val="139D01E3"/>
    <w:rsid w:val="13D85649"/>
    <w:rsid w:val="14057B62"/>
    <w:rsid w:val="14C2379B"/>
    <w:rsid w:val="162026B0"/>
    <w:rsid w:val="16313554"/>
    <w:rsid w:val="171F3F4C"/>
    <w:rsid w:val="177644D0"/>
    <w:rsid w:val="178640CA"/>
    <w:rsid w:val="17C9440E"/>
    <w:rsid w:val="17D01452"/>
    <w:rsid w:val="19402E95"/>
    <w:rsid w:val="1AAF014C"/>
    <w:rsid w:val="1C2D36F5"/>
    <w:rsid w:val="1C92105A"/>
    <w:rsid w:val="1D4B1478"/>
    <w:rsid w:val="1D513F7A"/>
    <w:rsid w:val="1D532316"/>
    <w:rsid w:val="1D646BBE"/>
    <w:rsid w:val="1E127068"/>
    <w:rsid w:val="1E566FDE"/>
    <w:rsid w:val="1F1979A7"/>
    <w:rsid w:val="1F7950FA"/>
    <w:rsid w:val="1F9A0980"/>
    <w:rsid w:val="209C2412"/>
    <w:rsid w:val="219A525F"/>
    <w:rsid w:val="21E36CE2"/>
    <w:rsid w:val="23BA656C"/>
    <w:rsid w:val="24A81F06"/>
    <w:rsid w:val="24AB5D2B"/>
    <w:rsid w:val="24DA081B"/>
    <w:rsid w:val="258D6F73"/>
    <w:rsid w:val="259F7046"/>
    <w:rsid w:val="25C84C62"/>
    <w:rsid w:val="261E1082"/>
    <w:rsid w:val="26436CA5"/>
    <w:rsid w:val="26CC6667"/>
    <w:rsid w:val="271443B1"/>
    <w:rsid w:val="27743463"/>
    <w:rsid w:val="28CD567C"/>
    <w:rsid w:val="2A19588C"/>
    <w:rsid w:val="2B28701A"/>
    <w:rsid w:val="2B824F15"/>
    <w:rsid w:val="2C582C57"/>
    <w:rsid w:val="2C5D5AD7"/>
    <w:rsid w:val="2C751A6A"/>
    <w:rsid w:val="2CB247E9"/>
    <w:rsid w:val="2D670841"/>
    <w:rsid w:val="2EE34018"/>
    <w:rsid w:val="30AE17B6"/>
    <w:rsid w:val="321E63C0"/>
    <w:rsid w:val="33723946"/>
    <w:rsid w:val="33AB2DFB"/>
    <w:rsid w:val="344261EC"/>
    <w:rsid w:val="34EB4A02"/>
    <w:rsid w:val="35C8181A"/>
    <w:rsid w:val="36093C12"/>
    <w:rsid w:val="37312AAF"/>
    <w:rsid w:val="376322BC"/>
    <w:rsid w:val="37AF5A70"/>
    <w:rsid w:val="38C00F1D"/>
    <w:rsid w:val="39993E40"/>
    <w:rsid w:val="3A6829D3"/>
    <w:rsid w:val="3A6A792B"/>
    <w:rsid w:val="3B5D4A7E"/>
    <w:rsid w:val="3BC75965"/>
    <w:rsid w:val="3CFC70CA"/>
    <w:rsid w:val="3D505F12"/>
    <w:rsid w:val="3E9A2461"/>
    <w:rsid w:val="3EDC73DD"/>
    <w:rsid w:val="3FC34632"/>
    <w:rsid w:val="400144C3"/>
    <w:rsid w:val="40036A20"/>
    <w:rsid w:val="40F453F8"/>
    <w:rsid w:val="410C4C78"/>
    <w:rsid w:val="41BD2505"/>
    <w:rsid w:val="42140EA8"/>
    <w:rsid w:val="42734EFD"/>
    <w:rsid w:val="433D3EB3"/>
    <w:rsid w:val="4342769E"/>
    <w:rsid w:val="46365323"/>
    <w:rsid w:val="46D633A5"/>
    <w:rsid w:val="482512D8"/>
    <w:rsid w:val="48491D1D"/>
    <w:rsid w:val="4854215D"/>
    <w:rsid w:val="488134C6"/>
    <w:rsid w:val="4A242B72"/>
    <w:rsid w:val="4A6D323B"/>
    <w:rsid w:val="4B2844F3"/>
    <w:rsid w:val="4B2B4CF5"/>
    <w:rsid w:val="4B2C3AE3"/>
    <w:rsid w:val="4BBA5F90"/>
    <w:rsid w:val="4D7C4462"/>
    <w:rsid w:val="4DA5179B"/>
    <w:rsid w:val="4DD16AAC"/>
    <w:rsid w:val="4E1562F7"/>
    <w:rsid w:val="4FFC3F61"/>
    <w:rsid w:val="509D5132"/>
    <w:rsid w:val="50BB0015"/>
    <w:rsid w:val="51D72A7B"/>
    <w:rsid w:val="51E34706"/>
    <w:rsid w:val="52B80783"/>
    <w:rsid w:val="54324D8D"/>
    <w:rsid w:val="566B4385"/>
    <w:rsid w:val="568E3C42"/>
    <w:rsid w:val="56901930"/>
    <w:rsid w:val="569C0C20"/>
    <w:rsid w:val="596D62E2"/>
    <w:rsid w:val="59D4044F"/>
    <w:rsid w:val="5A7259C5"/>
    <w:rsid w:val="5AB045B9"/>
    <w:rsid w:val="5D692E96"/>
    <w:rsid w:val="60163747"/>
    <w:rsid w:val="60171399"/>
    <w:rsid w:val="60674E67"/>
    <w:rsid w:val="60CE63EE"/>
    <w:rsid w:val="617E0EC8"/>
    <w:rsid w:val="61A20F78"/>
    <w:rsid w:val="61F96E5C"/>
    <w:rsid w:val="62D60F4C"/>
    <w:rsid w:val="6313457F"/>
    <w:rsid w:val="63C61305"/>
    <w:rsid w:val="64804E16"/>
    <w:rsid w:val="65AA57EF"/>
    <w:rsid w:val="67F53CE1"/>
    <w:rsid w:val="682C6492"/>
    <w:rsid w:val="6A7B0E4C"/>
    <w:rsid w:val="6A8D6CDC"/>
    <w:rsid w:val="6AD432EA"/>
    <w:rsid w:val="6BF36CD1"/>
    <w:rsid w:val="6CA80668"/>
    <w:rsid w:val="6CF67C7A"/>
    <w:rsid w:val="6D3D2C85"/>
    <w:rsid w:val="6E123E67"/>
    <w:rsid w:val="6E525680"/>
    <w:rsid w:val="6F012B42"/>
    <w:rsid w:val="6F56627D"/>
    <w:rsid w:val="6F901A5A"/>
    <w:rsid w:val="6FB9795D"/>
    <w:rsid w:val="6FD05675"/>
    <w:rsid w:val="70A9051B"/>
    <w:rsid w:val="71487932"/>
    <w:rsid w:val="715F1206"/>
    <w:rsid w:val="71FD4A4D"/>
    <w:rsid w:val="725256DA"/>
    <w:rsid w:val="72F535BE"/>
    <w:rsid w:val="754C685B"/>
    <w:rsid w:val="76135B49"/>
    <w:rsid w:val="7702635B"/>
    <w:rsid w:val="775018D4"/>
    <w:rsid w:val="77591EBA"/>
    <w:rsid w:val="77F056E2"/>
    <w:rsid w:val="78071FCA"/>
    <w:rsid w:val="785D4C85"/>
    <w:rsid w:val="789B7CF4"/>
    <w:rsid w:val="79443FD9"/>
    <w:rsid w:val="795103DF"/>
    <w:rsid w:val="7AE5230C"/>
    <w:rsid w:val="7B1B6C2F"/>
    <w:rsid w:val="7B5F5B2A"/>
    <w:rsid w:val="7BBC0535"/>
    <w:rsid w:val="7BC41E31"/>
    <w:rsid w:val="7BE87B26"/>
    <w:rsid w:val="7CAF14B1"/>
    <w:rsid w:val="7CB61BD5"/>
    <w:rsid w:val="7CCE6599"/>
    <w:rsid w:val="7D35606D"/>
    <w:rsid w:val="7EA71D68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99"/>
    <w:rPr>
      <w:rFonts w:cs="Times New Roman"/>
      <w:b/>
      <w:color w:val="787878"/>
      <w:sz w:val="18"/>
      <w:szCs w:val="18"/>
    </w:rPr>
  </w:style>
  <w:style w:type="character" w:styleId="5">
    <w:name w:val="FollowedHyperlink"/>
    <w:basedOn w:val="3"/>
    <w:autoRedefine/>
    <w:qFormat/>
    <w:uiPriority w:val="99"/>
    <w:rPr>
      <w:rFonts w:cs="Times New Roman"/>
      <w:color w:val="666666"/>
      <w:u w:val="none"/>
    </w:rPr>
  </w:style>
  <w:style w:type="character" w:styleId="6">
    <w:name w:val="Emphasis"/>
    <w:basedOn w:val="3"/>
    <w:autoRedefine/>
    <w:qFormat/>
    <w:uiPriority w:val="99"/>
    <w:rPr>
      <w:rFonts w:cs="Times New Roman"/>
    </w:rPr>
  </w:style>
  <w:style w:type="character" w:styleId="7">
    <w:name w:val="HTML Definition"/>
    <w:basedOn w:val="3"/>
    <w:autoRedefine/>
    <w:qFormat/>
    <w:uiPriority w:val="99"/>
    <w:rPr>
      <w:rFonts w:cs="Times New Roman"/>
    </w:rPr>
  </w:style>
  <w:style w:type="character" w:styleId="8">
    <w:name w:val="HTML Variable"/>
    <w:basedOn w:val="3"/>
    <w:autoRedefine/>
    <w:qFormat/>
    <w:uiPriority w:val="99"/>
    <w:rPr>
      <w:rFonts w:cs="Times New Roman"/>
    </w:rPr>
  </w:style>
  <w:style w:type="character" w:styleId="9">
    <w:name w:val="Hyperlink"/>
    <w:basedOn w:val="3"/>
    <w:autoRedefine/>
    <w:qFormat/>
    <w:uiPriority w:val="99"/>
    <w:rPr>
      <w:rFonts w:cs="Times New Roman"/>
      <w:color w:val="666666"/>
      <w:u w:val="none"/>
    </w:rPr>
  </w:style>
  <w:style w:type="character" w:styleId="10">
    <w:name w:val="HTML Cite"/>
    <w:basedOn w:val="3"/>
    <w:autoRedefine/>
    <w:qFormat/>
    <w:uiPriority w:val="99"/>
    <w:rPr>
      <w:rFonts w:cs="Times New Roman"/>
    </w:rPr>
  </w:style>
  <w:style w:type="character" w:customStyle="1" w:styleId="11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3187</Words>
  <Characters>3479</Characters>
  <Lines>0</Lines>
  <Paragraphs>0</Paragraphs>
  <TotalTime>0</TotalTime>
  <ScaleCrop>false</ScaleCrop>
  <LinksUpToDate>false</LinksUpToDate>
  <CharactersWithSpaces>3964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2024-08-14T02:01:00Z</cp:lastPrinted>
  <dcterms:modified xsi:type="dcterms:W3CDTF">2025-03-03T09:02:55Z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42BC94FFCC184BFA887736547999A9FC_13</vt:lpwstr>
  </property>
</Properties>
</file>